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6E7389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společnosti ADRA, o. p. s. na úhradu části výdajů spojených s organizací Slavnostního večera u příležitosti 15 let založení Dobrovolnického centra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AE7F38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A3556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134" w:type="dxa"/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RPr="00B2643D" w:rsidTr="0007368E">
        <w:trPr>
          <w:trHeight w:val="300"/>
        </w:trPr>
        <w:tc>
          <w:tcPr>
            <w:tcW w:w="1134" w:type="dxa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D0844" w:rsidRPr="003D0844" w:rsidRDefault="003D0844" w:rsidP="003D0844">
      <w:pPr>
        <w:pStyle w:val="Odstavecseseznamem"/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0844">
        <w:rPr>
          <w:rFonts w:ascii="Times New Roman" w:hAnsi="Times New Roman"/>
          <w:b/>
          <w:sz w:val="20"/>
          <w:szCs w:val="20"/>
        </w:rPr>
        <w:t>Rozpočtové opatření Rady města Frýdku-Místku č. 24: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610A6F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A86C1D" w:rsidRDefault="003D0844" w:rsidP="0007368E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76348B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zpracování žádosti o dotaci k projektu „Rekonstrukce SSZ, ul. Hlavní – ul. Dobrovského,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893DB0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108,90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-108,90</w:t>
            </w: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CA20C8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záchovná údržba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-1 095,28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CA20C8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7“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11“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23“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44“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CA20C8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7“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11“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23“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44“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-283,90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283,90</w:t>
            </w:r>
          </w:p>
        </w:tc>
      </w:tr>
    </w:tbl>
    <w:p w:rsidR="003D0844" w:rsidRPr="003D14CC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3D14CC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služby nerozúčtovatelné – byty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7“ – zajištění finančního krytí výkonu technického dozoru investora na staveništi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11“ – zajištění finančního krytí výkonu technického dozoru investora na staveništi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23“ – zajištění finančního krytí výkonu technického dozoru investora na staveništi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44“ – zajištění finančního krytí výkonu technického dozoru investora na staveništi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7“ – zajištění finančního krytí výkonu technického dozoru investora na staveništi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3F5C81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11“ – zajištění finančního krytí výkonu technického dozoru investora na staveništi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147, ul. 17.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listopadu – oprava bytové jednotky č. 23“ – zajištění finančního krytí výkonu technického dozoru investora na staveništi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4E076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44“ – zajištění finančního krytí výkonu technického dozoru investora na staveništi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3F5C81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0A2EF7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893DB0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-18,30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3A05F3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18,30</w:t>
            </w: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F735B5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pojistné plnění za způsobenou škodu v čp. 1083, ul. Těšínská – poškození dveří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631927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</w:tr>
      <w:tr w:rsidR="003D0844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Default="003D0844" w:rsidP="00073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</w:tr>
    </w:tbl>
    <w:p w:rsidR="003D0844" w:rsidRPr="006E7389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7A74C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národního umělce P. Bezruče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7A74C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národního umělce P. Bezruče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7A74C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národního umělce P. Bezruče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2 223,91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7A74C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národního umělce P. Bezruče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2 616,37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národního umělce P. Bezruče, tř. TGM 454 – ÚZ 33063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2 616,37</w:t>
            </w: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7A7A9E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J. Čapka 2555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7A7A9E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J. Čapka 2555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7A7A9E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ZŠ a MŠ F-M,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J. Čapka 2555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2 021,90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7A7A9E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J. Čapka 2555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2 378,71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ÚZ 33063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2 378,71</w:t>
            </w: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D0844" w:rsidRPr="00B2643D" w:rsidTr="00073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D0844" w:rsidRPr="00B2643D" w:rsidTr="00073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211E99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ZŠ a MŠ F-M, Chlebovice na realizaci projektu „Šablony II.“ – ÚZ 33063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197A07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A25510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na realizaci projektu „Šablony II.“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A25510" w:rsidRDefault="003D0844" w:rsidP="0007368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na realizaci projektu „Šablony II.“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D0844" w:rsidRPr="00B2643D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D0844" w:rsidRPr="00B2643D" w:rsidTr="0007368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vAlign w:val="center"/>
          </w:tcPr>
          <w:p w:rsidR="003D0844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946,78</w:t>
            </w:r>
          </w:p>
        </w:tc>
      </w:tr>
      <w:tr w:rsidR="003D0844" w:rsidRPr="00B2643D" w:rsidTr="0007368E">
        <w:trPr>
          <w:trHeight w:val="300"/>
        </w:trPr>
        <w:tc>
          <w:tcPr>
            <w:tcW w:w="1266" w:type="dxa"/>
            <w:vAlign w:val="center"/>
          </w:tcPr>
          <w:p w:rsidR="003D0844" w:rsidRPr="00B2643D" w:rsidRDefault="003D0844" w:rsidP="00073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Chlebovice – ÚZ 33063</w:t>
            </w:r>
          </w:p>
        </w:tc>
        <w:tc>
          <w:tcPr>
            <w:tcW w:w="1275" w:type="dxa"/>
            <w:noWrap/>
            <w:vAlign w:val="center"/>
          </w:tcPr>
          <w:p w:rsidR="003D0844" w:rsidRDefault="003D0844" w:rsidP="000736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946,78</w:t>
            </w:r>
          </w:p>
        </w:tc>
      </w:tr>
    </w:tbl>
    <w:p w:rsidR="003D0844" w:rsidRDefault="003D0844" w:rsidP="003D084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0844" w:rsidRDefault="003D0844" w:rsidP="003D0844">
      <w:pPr>
        <w:rPr>
          <w:rFonts w:ascii="Times New Roman" w:hAnsi="Times New Roman"/>
          <w:sz w:val="20"/>
          <w:szCs w:val="20"/>
        </w:rPr>
      </w:pPr>
    </w:p>
    <w:p w:rsidR="003D0844" w:rsidRDefault="003D0844" w:rsidP="003D0844">
      <w:pPr>
        <w:rPr>
          <w:rFonts w:ascii="Times New Roman" w:hAnsi="Times New Roman"/>
          <w:sz w:val="20"/>
          <w:szCs w:val="20"/>
        </w:rPr>
      </w:pPr>
    </w:p>
    <w:p w:rsidR="003D0844" w:rsidRDefault="003D0844">
      <w:pPr>
        <w:rPr>
          <w:rFonts w:ascii="Times New Roman" w:hAnsi="Times New Roman"/>
          <w:sz w:val="20"/>
          <w:szCs w:val="20"/>
        </w:rPr>
      </w:pPr>
    </w:p>
    <w:p w:rsidR="003D0844" w:rsidRPr="003D0844" w:rsidRDefault="003D0844" w:rsidP="003D0844">
      <w:pPr>
        <w:rPr>
          <w:rFonts w:ascii="Times New Roman" w:hAnsi="Times New Roman"/>
          <w:sz w:val="20"/>
          <w:szCs w:val="20"/>
        </w:rPr>
      </w:pPr>
    </w:p>
    <w:p w:rsidR="003D0844" w:rsidRPr="003D0844" w:rsidRDefault="003D0844" w:rsidP="003D0844">
      <w:pPr>
        <w:rPr>
          <w:rFonts w:ascii="Times New Roman" w:hAnsi="Times New Roman"/>
          <w:sz w:val="20"/>
          <w:szCs w:val="20"/>
        </w:rPr>
      </w:pPr>
    </w:p>
    <w:p w:rsidR="003D0844" w:rsidRPr="003D0844" w:rsidRDefault="003D0844" w:rsidP="003D0844">
      <w:pPr>
        <w:rPr>
          <w:rFonts w:ascii="Times New Roman" w:hAnsi="Times New Roman"/>
          <w:sz w:val="20"/>
          <w:szCs w:val="20"/>
        </w:rPr>
      </w:pPr>
    </w:p>
    <w:p w:rsidR="003D0844" w:rsidRPr="003D0844" w:rsidRDefault="003D0844" w:rsidP="003D0844">
      <w:pPr>
        <w:rPr>
          <w:rFonts w:ascii="Times New Roman" w:hAnsi="Times New Roman"/>
          <w:sz w:val="20"/>
          <w:szCs w:val="20"/>
        </w:rPr>
      </w:pPr>
    </w:p>
    <w:p w:rsidR="003D0844" w:rsidRPr="003D0844" w:rsidRDefault="003D0844" w:rsidP="003D0844">
      <w:pPr>
        <w:rPr>
          <w:rFonts w:ascii="Times New Roman" w:hAnsi="Times New Roman"/>
          <w:sz w:val="20"/>
          <w:szCs w:val="20"/>
        </w:rPr>
      </w:pPr>
    </w:p>
    <w:sectPr w:rsidR="003D0844" w:rsidRPr="003D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912"/>
    <w:multiLevelType w:val="hybridMultilevel"/>
    <w:tmpl w:val="75584D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D38E8"/>
    <w:multiLevelType w:val="hybridMultilevel"/>
    <w:tmpl w:val="9F7492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74170"/>
    <w:multiLevelType w:val="hybridMultilevel"/>
    <w:tmpl w:val="674092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48"/>
    <w:rsid w:val="003D0844"/>
    <w:rsid w:val="00DC2048"/>
    <w:rsid w:val="00E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6ABA-76E4-4F04-8483-C16B309F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1362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2019-02-27T07:57:00Z</dcterms:created>
  <dcterms:modified xsi:type="dcterms:W3CDTF">2019-02-27T08:01:00Z</dcterms:modified>
</cp:coreProperties>
</file>