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90583B" w14:textId="77777777" w:rsidR="00486616" w:rsidRDefault="00486616" w:rsidP="006C4840">
      <w:pPr>
        <w:jc w:val="center"/>
        <w:rPr>
          <w:rFonts w:ascii="Tahoma" w:hAnsi="Tahoma" w:cs="Tahoma"/>
          <w:b/>
        </w:rPr>
      </w:pPr>
    </w:p>
    <w:p w14:paraId="6A957199" w14:textId="77777777" w:rsidR="006C4840" w:rsidRPr="00D7549D" w:rsidRDefault="006C4840" w:rsidP="006C4840">
      <w:pPr>
        <w:jc w:val="center"/>
        <w:rPr>
          <w:rFonts w:ascii="Tahoma" w:hAnsi="Tahoma" w:cs="Tahoma"/>
          <w:b/>
        </w:rPr>
      </w:pPr>
      <w:r w:rsidRPr="00D7549D">
        <w:rPr>
          <w:rFonts w:ascii="Tahoma" w:hAnsi="Tahoma" w:cs="Tahoma"/>
          <w:b/>
        </w:rPr>
        <w:t xml:space="preserve">Množství odpadů vyprodukovaných občany města </w:t>
      </w:r>
      <w:r w:rsidR="006F1578">
        <w:rPr>
          <w:rFonts w:ascii="Tahoma" w:hAnsi="Tahoma" w:cs="Tahoma"/>
          <w:b/>
        </w:rPr>
        <w:br/>
      </w:r>
      <w:r w:rsidRPr="00D7549D">
        <w:rPr>
          <w:rFonts w:ascii="Tahoma" w:hAnsi="Tahoma" w:cs="Tahoma"/>
          <w:b/>
        </w:rPr>
        <w:t xml:space="preserve">a statutárním městem Frýdek-Místek v roce </w:t>
      </w:r>
      <w:r w:rsidR="003152C4">
        <w:rPr>
          <w:rFonts w:ascii="Tahoma" w:hAnsi="Tahoma" w:cs="Tahoma"/>
          <w:b/>
        </w:rPr>
        <w:t>202</w:t>
      </w:r>
      <w:r w:rsidR="00A155EF">
        <w:rPr>
          <w:rFonts w:ascii="Tahoma" w:hAnsi="Tahoma" w:cs="Tahoma"/>
          <w:b/>
        </w:rPr>
        <w:t>3</w:t>
      </w:r>
    </w:p>
    <w:p w14:paraId="0233F432" w14:textId="77777777" w:rsidR="006C4840" w:rsidRPr="00D7549D" w:rsidRDefault="006C4840" w:rsidP="006C4840">
      <w:pPr>
        <w:ind w:left="900"/>
        <w:rPr>
          <w:rFonts w:ascii="Tahoma" w:hAnsi="Tahoma" w:cs="Tahoma"/>
          <w:sz w:val="21"/>
          <w:szCs w:val="21"/>
        </w:rPr>
      </w:pPr>
    </w:p>
    <w:p w14:paraId="1E2BCE13" w14:textId="77777777" w:rsidR="006C4840" w:rsidRPr="00D7549D" w:rsidRDefault="003152C4" w:rsidP="006C4840">
      <w:pPr>
        <w:jc w:val="both"/>
        <w:rPr>
          <w:rFonts w:ascii="Tahoma" w:hAnsi="Tahoma" w:cs="Tahoma"/>
          <w:bCs/>
          <w:sz w:val="21"/>
          <w:szCs w:val="21"/>
        </w:rPr>
      </w:pPr>
      <w:r>
        <w:rPr>
          <w:rFonts w:ascii="Tahoma" w:hAnsi="Tahoma" w:cs="Tahoma"/>
          <w:sz w:val="21"/>
          <w:szCs w:val="21"/>
        </w:rPr>
        <w:t>V roce 202</w:t>
      </w:r>
      <w:r w:rsidR="00A155EF">
        <w:rPr>
          <w:rFonts w:ascii="Tahoma" w:hAnsi="Tahoma" w:cs="Tahoma"/>
          <w:sz w:val="21"/>
          <w:szCs w:val="21"/>
        </w:rPr>
        <w:t>3</w:t>
      </w:r>
      <w:r w:rsidR="006C4840" w:rsidRPr="00D7549D">
        <w:rPr>
          <w:rFonts w:ascii="Tahoma" w:hAnsi="Tahoma" w:cs="Tahoma"/>
          <w:sz w:val="21"/>
          <w:szCs w:val="21"/>
        </w:rPr>
        <w:t xml:space="preserve"> vyprodukovali občané města a statutární město Frýdek-Místek celkem </w:t>
      </w:r>
      <w:r w:rsidR="006C4840" w:rsidRPr="00D7549D">
        <w:rPr>
          <w:rFonts w:ascii="Tahoma" w:hAnsi="Tahoma" w:cs="Tahoma"/>
          <w:b/>
          <w:bCs/>
          <w:sz w:val="21"/>
          <w:szCs w:val="21"/>
        </w:rPr>
        <w:t>2</w:t>
      </w:r>
      <w:r w:rsidR="00A155EF">
        <w:rPr>
          <w:rFonts w:ascii="Tahoma" w:hAnsi="Tahoma" w:cs="Tahoma"/>
          <w:b/>
          <w:bCs/>
          <w:sz w:val="21"/>
          <w:szCs w:val="21"/>
        </w:rPr>
        <w:t>7</w:t>
      </w:r>
      <w:r w:rsidR="006C4840" w:rsidRPr="00D7549D">
        <w:rPr>
          <w:rFonts w:ascii="Tahoma" w:hAnsi="Tahoma" w:cs="Tahoma"/>
          <w:b/>
          <w:bCs/>
          <w:sz w:val="21"/>
          <w:szCs w:val="21"/>
        </w:rPr>
        <w:t> </w:t>
      </w:r>
      <w:r w:rsidR="00A155EF">
        <w:rPr>
          <w:rFonts w:ascii="Tahoma" w:hAnsi="Tahoma" w:cs="Tahoma"/>
          <w:b/>
          <w:bCs/>
          <w:sz w:val="21"/>
          <w:szCs w:val="21"/>
        </w:rPr>
        <w:t>182</w:t>
      </w:r>
      <w:r w:rsidR="006C4840" w:rsidRPr="00D7549D">
        <w:rPr>
          <w:rFonts w:ascii="Tahoma" w:hAnsi="Tahoma" w:cs="Tahoma"/>
          <w:b/>
          <w:bCs/>
          <w:sz w:val="21"/>
          <w:szCs w:val="21"/>
        </w:rPr>
        <w:t xml:space="preserve"> tun </w:t>
      </w:r>
      <w:r w:rsidR="006C4840" w:rsidRPr="00D7549D">
        <w:rPr>
          <w:rFonts w:ascii="Tahoma" w:hAnsi="Tahoma" w:cs="Tahoma"/>
          <w:bCs/>
          <w:sz w:val="21"/>
          <w:szCs w:val="21"/>
        </w:rPr>
        <w:t>odpadu. Ve srovnání s rokem 20</w:t>
      </w:r>
      <w:r w:rsidR="00C412CA">
        <w:rPr>
          <w:rFonts w:ascii="Tahoma" w:hAnsi="Tahoma" w:cs="Tahoma"/>
          <w:bCs/>
          <w:sz w:val="21"/>
          <w:szCs w:val="21"/>
        </w:rPr>
        <w:t>2</w:t>
      </w:r>
      <w:r w:rsidR="00A155EF">
        <w:rPr>
          <w:rFonts w:ascii="Tahoma" w:hAnsi="Tahoma" w:cs="Tahoma"/>
          <w:bCs/>
          <w:sz w:val="21"/>
          <w:szCs w:val="21"/>
        </w:rPr>
        <w:t>2</w:t>
      </w:r>
      <w:r>
        <w:rPr>
          <w:rFonts w:ascii="Tahoma" w:hAnsi="Tahoma" w:cs="Tahoma"/>
          <w:bCs/>
          <w:sz w:val="21"/>
          <w:szCs w:val="21"/>
        </w:rPr>
        <w:t xml:space="preserve"> to bylo o </w:t>
      </w:r>
      <w:r w:rsidR="00A155EF">
        <w:rPr>
          <w:rFonts w:ascii="Tahoma" w:hAnsi="Tahoma" w:cs="Tahoma"/>
          <w:bCs/>
          <w:sz w:val="21"/>
          <w:szCs w:val="21"/>
        </w:rPr>
        <w:t>476</w:t>
      </w:r>
      <w:r>
        <w:rPr>
          <w:rFonts w:ascii="Tahoma" w:hAnsi="Tahoma" w:cs="Tahoma"/>
          <w:bCs/>
          <w:sz w:val="21"/>
          <w:szCs w:val="21"/>
        </w:rPr>
        <w:t xml:space="preserve"> t </w:t>
      </w:r>
      <w:r w:rsidR="00A155EF">
        <w:rPr>
          <w:rFonts w:ascii="Tahoma" w:hAnsi="Tahoma" w:cs="Tahoma"/>
          <w:bCs/>
          <w:sz w:val="21"/>
          <w:szCs w:val="21"/>
        </w:rPr>
        <w:t>více</w:t>
      </w:r>
      <w:r w:rsidR="006B78FF">
        <w:rPr>
          <w:rFonts w:ascii="Tahoma" w:hAnsi="Tahoma" w:cs="Tahoma"/>
          <w:bCs/>
          <w:sz w:val="21"/>
          <w:szCs w:val="21"/>
        </w:rPr>
        <w:t>. Složení odpadů v roce 202</w:t>
      </w:r>
      <w:r w:rsidR="00A155EF">
        <w:rPr>
          <w:rFonts w:ascii="Tahoma" w:hAnsi="Tahoma" w:cs="Tahoma"/>
          <w:bCs/>
          <w:sz w:val="21"/>
          <w:szCs w:val="21"/>
        </w:rPr>
        <w:t>3</w:t>
      </w:r>
      <w:r w:rsidR="006C4840" w:rsidRPr="00D7549D">
        <w:rPr>
          <w:rFonts w:ascii="Tahoma" w:hAnsi="Tahoma" w:cs="Tahoma"/>
          <w:bCs/>
          <w:sz w:val="21"/>
          <w:szCs w:val="21"/>
        </w:rPr>
        <w:t xml:space="preserve"> ukazuje následující graf.</w:t>
      </w:r>
    </w:p>
    <w:p w14:paraId="118D7351" w14:textId="77777777" w:rsidR="006C4840" w:rsidRPr="00D7549D" w:rsidRDefault="006C4840" w:rsidP="006C4840">
      <w:pPr>
        <w:jc w:val="both"/>
        <w:rPr>
          <w:rFonts w:ascii="Tahoma" w:hAnsi="Tahoma" w:cs="Tahoma"/>
          <w:bCs/>
          <w:sz w:val="21"/>
          <w:szCs w:val="21"/>
        </w:rPr>
      </w:pPr>
    </w:p>
    <w:p w14:paraId="7A8DAEAF" w14:textId="77777777" w:rsidR="006C4840" w:rsidRDefault="006C4840" w:rsidP="006C4840">
      <w:pPr>
        <w:pStyle w:val="Titulek"/>
        <w:keepNext/>
        <w:jc w:val="both"/>
        <w:rPr>
          <w:rFonts w:ascii="Tahoma" w:hAnsi="Tahoma" w:cs="Tahoma"/>
          <w:color w:val="auto"/>
          <w:sz w:val="21"/>
          <w:szCs w:val="21"/>
        </w:rPr>
      </w:pPr>
      <w:r w:rsidRPr="00D7549D">
        <w:rPr>
          <w:rFonts w:ascii="Tahoma" w:hAnsi="Tahoma" w:cs="Tahoma"/>
          <w:color w:val="auto"/>
          <w:sz w:val="21"/>
          <w:szCs w:val="21"/>
        </w:rPr>
        <w:t>Graf č.1: Složení odpadu ve Frýdku-Místku v roce 20</w:t>
      </w:r>
      <w:r w:rsidR="00532724">
        <w:rPr>
          <w:rFonts w:ascii="Tahoma" w:hAnsi="Tahoma" w:cs="Tahoma"/>
          <w:color w:val="auto"/>
          <w:sz w:val="21"/>
          <w:szCs w:val="21"/>
        </w:rPr>
        <w:t>2</w:t>
      </w:r>
      <w:r w:rsidR="00A155EF">
        <w:rPr>
          <w:rFonts w:ascii="Tahoma" w:hAnsi="Tahoma" w:cs="Tahoma"/>
          <w:color w:val="auto"/>
          <w:sz w:val="21"/>
          <w:szCs w:val="21"/>
        </w:rPr>
        <w:t>3</w:t>
      </w:r>
    </w:p>
    <w:p w14:paraId="28735B9F" w14:textId="77777777" w:rsidR="007E7057" w:rsidRDefault="00A155EF" w:rsidP="007E7057">
      <w:r>
        <w:rPr>
          <w:noProof/>
        </w:rPr>
        <w:drawing>
          <wp:inline distT="0" distB="0" distL="0" distR="0" wp14:anchorId="6622A45A" wp14:editId="5A080B20">
            <wp:extent cx="6038850" cy="4991100"/>
            <wp:effectExtent l="0" t="0" r="0" b="0"/>
            <wp:docPr id="1483214429" name="Graf 1">
              <a:extLst xmlns:a="http://schemas.openxmlformats.org/drawingml/2006/main">
                <a:ext uri="{FF2B5EF4-FFF2-40B4-BE49-F238E27FC236}">
                  <a16:creationId xmlns:a16="http://schemas.microsoft.com/office/drawing/2014/main" id="{BB9858E2-8EBB-410C-993B-D878689AC5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C8EB9E7" w14:textId="77777777" w:rsidR="007E7057" w:rsidRPr="007E7057" w:rsidRDefault="007E7057" w:rsidP="007E7057"/>
    <w:p w14:paraId="3A7EB646" w14:textId="77777777" w:rsidR="00762258" w:rsidRDefault="00762258" w:rsidP="006C4840">
      <w:pPr>
        <w:jc w:val="both"/>
        <w:rPr>
          <w:rFonts w:ascii="Tahoma" w:hAnsi="Tahoma" w:cs="Tahoma"/>
          <w:b/>
          <w:bCs/>
          <w:sz w:val="21"/>
          <w:szCs w:val="21"/>
        </w:rPr>
      </w:pPr>
    </w:p>
    <w:p w14:paraId="2A236FE0" w14:textId="77777777" w:rsidR="006C4840" w:rsidRPr="00D7549D" w:rsidRDefault="00F43AED" w:rsidP="006C4840">
      <w:pPr>
        <w:jc w:val="both"/>
        <w:rPr>
          <w:rFonts w:ascii="Tahoma" w:hAnsi="Tahoma" w:cs="Tahoma"/>
          <w:b/>
          <w:bCs/>
          <w:sz w:val="21"/>
          <w:szCs w:val="21"/>
        </w:rPr>
      </w:pPr>
      <w:r>
        <w:rPr>
          <w:rFonts w:ascii="Tahoma" w:hAnsi="Tahoma" w:cs="Tahoma"/>
          <w:b/>
          <w:bCs/>
          <w:sz w:val="21"/>
          <w:szCs w:val="21"/>
        </w:rPr>
        <w:t>O</w:t>
      </w:r>
      <w:r w:rsidR="006C4840" w:rsidRPr="00D7549D">
        <w:rPr>
          <w:rFonts w:ascii="Tahoma" w:hAnsi="Tahoma" w:cs="Tahoma"/>
          <w:b/>
          <w:bCs/>
          <w:sz w:val="21"/>
          <w:szCs w:val="21"/>
        </w:rPr>
        <w:t>dpad</w:t>
      </w:r>
    </w:p>
    <w:p w14:paraId="2C87B30D" w14:textId="77777777" w:rsidR="006C4840" w:rsidRPr="00D7549D" w:rsidRDefault="006C4840" w:rsidP="006C4840">
      <w:pPr>
        <w:jc w:val="both"/>
        <w:rPr>
          <w:rFonts w:ascii="Tahoma" w:hAnsi="Tahoma" w:cs="Tahoma"/>
          <w:sz w:val="21"/>
          <w:szCs w:val="21"/>
        </w:rPr>
      </w:pPr>
    </w:p>
    <w:p w14:paraId="6CECC8EB" w14:textId="77777777" w:rsidR="00B734F2" w:rsidRDefault="00F43AED" w:rsidP="006C4840">
      <w:pPr>
        <w:jc w:val="both"/>
        <w:rPr>
          <w:rStyle w:val="platne1"/>
          <w:rFonts w:ascii="Tahoma" w:hAnsi="Tahoma" w:cs="Tahoma"/>
          <w:sz w:val="21"/>
          <w:szCs w:val="21"/>
        </w:rPr>
      </w:pPr>
      <w:r>
        <w:rPr>
          <w:rFonts w:ascii="Tahoma" w:hAnsi="Tahoma" w:cs="Tahoma"/>
          <w:sz w:val="21"/>
          <w:szCs w:val="21"/>
        </w:rPr>
        <w:t>O</w:t>
      </w:r>
      <w:r w:rsidR="006C4840" w:rsidRPr="00D7549D">
        <w:rPr>
          <w:rFonts w:ascii="Tahoma" w:hAnsi="Tahoma" w:cs="Tahoma"/>
          <w:sz w:val="21"/>
          <w:szCs w:val="21"/>
        </w:rPr>
        <w:t>dpadem je dle zá</w:t>
      </w:r>
      <w:r w:rsidR="006C4840" w:rsidRPr="00D7549D">
        <w:rPr>
          <w:rStyle w:val="platne1"/>
          <w:rFonts w:ascii="Tahoma" w:hAnsi="Tahoma" w:cs="Tahoma"/>
          <w:sz w:val="21"/>
          <w:szCs w:val="21"/>
        </w:rPr>
        <w:t>kona č. </w:t>
      </w:r>
      <w:r w:rsidRPr="00B734F2">
        <w:rPr>
          <w:rStyle w:val="platne1"/>
          <w:rFonts w:ascii="Tahoma" w:hAnsi="Tahoma" w:cs="Tahoma"/>
          <w:sz w:val="21"/>
          <w:szCs w:val="21"/>
        </w:rPr>
        <w:t>541</w:t>
      </w:r>
      <w:r w:rsidR="006C4840" w:rsidRPr="00B734F2">
        <w:rPr>
          <w:rStyle w:val="platne1"/>
          <w:rFonts w:ascii="Tahoma" w:hAnsi="Tahoma" w:cs="Tahoma"/>
          <w:sz w:val="21"/>
          <w:szCs w:val="21"/>
        </w:rPr>
        <w:t>/20</w:t>
      </w:r>
      <w:r w:rsidRPr="00B734F2">
        <w:rPr>
          <w:rStyle w:val="platne1"/>
          <w:rFonts w:ascii="Tahoma" w:hAnsi="Tahoma" w:cs="Tahoma"/>
          <w:sz w:val="21"/>
          <w:szCs w:val="21"/>
        </w:rPr>
        <w:t>20</w:t>
      </w:r>
      <w:r w:rsidR="006C4840" w:rsidRPr="00B734F2">
        <w:rPr>
          <w:rStyle w:val="platne1"/>
          <w:rFonts w:ascii="Tahoma" w:hAnsi="Tahoma" w:cs="Tahoma"/>
          <w:sz w:val="21"/>
          <w:szCs w:val="21"/>
        </w:rPr>
        <w:t xml:space="preserve"> Sb., o</w:t>
      </w:r>
      <w:r w:rsidR="006C4840" w:rsidRPr="00D7549D">
        <w:rPr>
          <w:rStyle w:val="platne1"/>
          <w:rFonts w:ascii="Tahoma" w:hAnsi="Tahoma" w:cs="Tahoma"/>
          <w:sz w:val="21"/>
          <w:szCs w:val="21"/>
        </w:rPr>
        <w:t xml:space="preserve"> odpadech</w:t>
      </w:r>
      <w:r w:rsidR="00551375">
        <w:rPr>
          <w:rStyle w:val="platne1"/>
          <w:rFonts w:ascii="Tahoma" w:hAnsi="Tahoma" w:cs="Tahoma"/>
          <w:sz w:val="21"/>
          <w:szCs w:val="21"/>
        </w:rPr>
        <w:t>, ve znění pozdějších předpisů</w:t>
      </w:r>
      <w:r w:rsidR="006C4840" w:rsidRPr="00D7549D">
        <w:rPr>
          <w:rStyle w:val="platne1"/>
          <w:rFonts w:ascii="Tahoma" w:hAnsi="Tahoma" w:cs="Tahoma"/>
          <w:sz w:val="21"/>
          <w:szCs w:val="21"/>
        </w:rPr>
        <w:t xml:space="preserve"> (dále jen „zákon o odpadech“), </w:t>
      </w:r>
      <w:r w:rsidR="00B734F2">
        <w:rPr>
          <w:rStyle w:val="platne1"/>
          <w:rFonts w:ascii="Tahoma" w:hAnsi="Tahoma" w:cs="Tahoma"/>
          <w:sz w:val="21"/>
          <w:szCs w:val="21"/>
        </w:rPr>
        <w:t>každá movitá věc, které se osoba zbavuje, má úmysl nebo povinnost se jí zbavit. Má se za to, že osoba má úmysl zbavit se movité věci, pokud tuto věc není možné používat k původnímu účelu</w:t>
      </w:r>
      <w:r w:rsidR="007E7057">
        <w:rPr>
          <w:rStyle w:val="platne1"/>
          <w:rFonts w:ascii="Tahoma" w:hAnsi="Tahoma" w:cs="Tahoma"/>
          <w:sz w:val="21"/>
          <w:szCs w:val="21"/>
        </w:rPr>
        <w:t>.</w:t>
      </w:r>
      <w:r w:rsidR="00B734F2">
        <w:rPr>
          <w:rStyle w:val="platne1"/>
          <w:rFonts w:ascii="Tahoma" w:hAnsi="Tahoma" w:cs="Tahoma"/>
          <w:sz w:val="21"/>
          <w:szCs w:val="21"/>
        </w:rPr>
        <w:t xml:space="preserve"> </w:t>
      </w:r>
    </w:p>
    <w:p w14:paraId="52E4DF59" w14:textId="77777777" w:rsidR="00762258" w:rsidRDefault="00762258" w:rsidP="006C4840">
      <w:pPr>
        <w:jc w:val="both"/>
        <w:rPr>
          <w:rStyle w:val="platne1"/>
          <w:rFonts w:ascii="Tahoma" w:hAnsi="Tahoma" w:cs="Tahoma"/>
          <w:sz w:val="21"/>
          <w:szCs w:val="21"/>
        </w:rPr>
      </w:pPr>
    </w:p>
    <w:p w14:paraId="31593C77" w14:textId="77777777" w:rsidR="00762258" w:rsidRDefault="00762258" w:rsidP="006C4840">
      <w:pPr>
        <w:jc w:val="both"/>
        <w:rPr>
          <w:rStyle w:val="platne1"/>
          <w:rFonts w:ascii="Tahoma" w:hAnsi="Tahoma" w:cs="Tahoma"/>
          <w:sz w:val="21"/>
          <w:szCs w:val="21"/>
        </w:rPr>
      </w:pPr>
    </w:p>
    <w:p w14:paraId="4771609F" w14:textId="77777777" w:rsidR="00762258" w:rsidRDefault="00762258" w:rsidP="006C4840">
      <w:pPr>
        <w:jc w:val="both"/>
        <w:rPr>
          <w:rStyle w:val="platne1"/>
          <w:rFonts w:ascii="Tahoma" w:hAnsi="Tahoma" w:cs="Tahoma"/>
          <w:sz w:val="21"/>
          <w:szCs w:val="21"/>
        </w:rPr>
      </w:pPr>
    </w:p>
    <w:p w14:paraId="639480DC" w14:textId="77777777" w:rsidR="00762258" w:rsidRDefault="00762258" w:rsidP="006C4840">
      <w:pPr>
        <w:jc w:val="both"/>
        <w:rPr>
          <w:rStyle w:val="platne1"/>
          <w:rFonts w:ascii="Tahoma" w:hAnsi="Tahoma" w:cs="Tahoma"/>
          <w:sz w:val="21"/>
          <w:szCs w:val="21"/>
        </w:rPr>
      </w:pPr>
    </w:p>
    <w:p w14:paraId="5320749A" w14:textId="77777777" w:rsidR="00B734F2" w:rsidRDefault="00B734F2" w:rsidP="006C4840">
      <w:pPr>
        <w:jc w:val="both"/>
        <w:rPr>
          <w:rStyle w:val="platne1"/>
          <w:rFonts w:ascii="Tahoma" w:hAnsi="Tahoma" w:cs="Tahoma"/>
          <w:sz w:val="21"/>
          <w:szCs w:val="21"/>
        </w:rPr>
      </w:pPr>
    </w:p>
    <w:p w14:paraId="1F261B61" w14:textId="77777777" w:rsidR="006C4840" w:rsidRPr="00D7549D" w:rsidRDefault="006C4840" w:rsidP="006C4840">
      <w:pPr>
        <w:pStyle w:val="Nadpis2"/>
        <w:spacing w:before="0" w:after="0"/>
        <w:rPr>
          <w:rFonts w:ascii="Tahoma" w:hAnsi="Tahoma" w:cs="Tahoma"/>
          <w:i w:val="0"/>
          <w:sz w:val="21"/>
          <w:szCs w:val="21"/>
        </w:rPr>
      </w:pPr>
      <w:r w:rsidRPr="00D7549D">
        <w:rPr>
          <w:rFonts w:ascii="Tahoma" w:hAnsi="Tahoma" w:cs="Tahoma"/>
          <w:i w:val="0"/>
          <w:sz w:val="21"/>
          <w:szCs w:val="21"/>
        </w:rPr>
        <w:lastRenderedPageBreak/>
        <w:t>Odpady vznikající v domácnostech</w:t>
      </w:r>
    </w:p>
    <w:p w14:paraId="13F50D24" w14:textId="77777777" w:rsidR="006C4840" w:rsidRPr="00D7549D" w:rsidRDefault="006C4840" w:rsidP="006C4840">
      <w:pPr>
        <w:pStyle w:val="Nadpis4"/>
        <w:spacing w:before="0" w:beforeAutospacing="0" w:after="0" w:afterAutospacing="0" w:line="240" w:lineRule="atLeast"/>
        <w:jc w:val="both"/>
        <w:rPr>
          <w:rFonts w:ascii="Tahoma" w:hAnsi="Tahoma" w:cs="Tahoma"/>
          <w:b w:val="0"/>
          <w:sz w:val="21"/>
          <w:szCs w:val="21"/>
        </w:rPr>
      </w:pPr>
    </w:p>
    <w:p w14:paraId="3B05DAB2" w14:textId="77777777" w:rsidR="00604C8F" w:rsidRDefault="006C4840" w:rsidP="00F8261F">
      <w:pPr>
        <w:pStyle w:val="Nadpis4"/>
        <w:numPr>
          <w:ilvl w:val="0"/>
          <w:numId w:val="1"/>
        </w:numPr>
        <w:tabs>
          <w:tab w:val="clear" w:pos="720"/>
        </w:tabs>
        <w:spacing w:before="0" w:beforeAutospacing="0" w:after="0" w:afterAutospacing="0" w:line="240" w:lineRule="atLeast"/>
        <w:ind w:left="709" w:hanging="425"/>
        <w:jc w:val="both"/>
        <w:rPr>
          <w:rFonts w:ascii="Tahoma" w:hAnsi="Tahoma" w:cs="Tahoma"/>
          <w:b w:val="0"/>
          <w:sz w:val="21"/>
          <w:szCs w:val="21"/>
        </w:rPr>
      </w:pPr>
      <w:r w:rsidRPr="00D7549D">
        <w:rPr>
          <w:rFonts w:ascii="Tahoma" w:hAnsi="Tahoma" w:cs="Tahoma"/>
          <w:sz w:val="21"/>
          <w:szCs w:val="21"/>
        </w:rPr>
        <w:t xml:space="preserve">Využitelné </w:t>
      </w:r>
      <w:r w:rsidRPr="00D7549D">
        <w:rPr>
          <w:rFonts w:ascii="Tahoma" w:hAnsi="Tahoma" w:cs="Tahoma"/>
          <w:b w:val="0"/>
          <w:sz w:val="21"/>
          <w:szCs w:val="21"/>
        </w:rPr>
        <w:t>odpady</w:t>
      </w:r>
      <w:r w:rsidR="00762258">
        <w:rPr>
          <w:rFonts w:ascii="Tahoma" w:hAnsi="Tahoma" w:cs="Tahoma"/>
          <w:b w:val="0"/>
          <w:sz w:val="21"/>
          <w:szCs w:val="21"/>
        </w:rPr>
        <w:t>, jsou ty, které</w:t>
      </w:r>
      <w:r w:rsidRPr="00D7549D">
        <w:rPr>
          <w:rFonts w:ascii="Tahoma" w:hAnsi="Tahoma" w:cs="Tahoma"/>
          <w:b w:val="0"/>
          <w:sz w:val="21"/>
          <w:szCs w:val="21"/>
        </w:rPr>
        <w:t xml:space="preserve"> je možno dále zpracovat, např. papír a lepenka, sklo, plasty (PET lahve, folie, kelímky), kovy (plechovky, hliník), kompostovatelný kuchyňský odpad,</w:t>
      </w:r>
      <w:r w:rsidR="00DD6822">
        <w:rPr>
          <w:rFonts w:ascii="Tahoma" w:hAnsi="Tahoma" w:cs="Tahoma"/>
          <w:b w:val="0"/>
          <w:sz w:val="21"/>
          <w:szCs w:val="21"/>
        </w:rPr>
        <w:t xml:space="preserve"> potravinářské</w:t>
      </w:r>
      <w:r w:rsidRPr="00D7549D">
        <w:rPr>
          <w:rFonts w:ascii="Tahoma" w:hAnsi="Tahoma" w:cs="Tahoma"/>
          <w:b w:val="0"/>
          <w:sz w:val="21"/>
          <w:szCs w:val="21"/>
        </w:rPr>
        <w:t xml:space="preserve"> </w:t>
      </w:r>
      <w:r w:rsidR="00DD6822">
        <w:rPr>
          <w:rFonts w:ascii="Tahoma" w:hAnsi="Tahoma" w:cs="Tahoma"/>
          <w:b w:val="0"/>
          <w:sz w:val="21"/>
          <w:szCs w:val="21"/>
        </w:rPr>
        <w:t xml:space="preserve">oleje a tuky, </w:t>
      </w:r>
      <w:r w:rsidRPr="00D7549D">
        <w:rPr>
          <w:rFonts w:ascii="Tahoma" w:hAnsi="Tahoma" w:cs="Tahoma"/>
          <w:b w:val="0"/>
          <w:sz w:val="21"/>
          <w:szCs w:val="21"/>
        </w:rPr>
        <w:t>rostlinný odpad ze zahrad atd. Tyto druhy odpadů se ukládají do barevných nádob.</w:t>
      </w:r>
    </w:p>
    <w:p w14:paraId="6AA3B67A" w14:textId="77777777" w:rsidR="00F8261F" w:rsidRPr="00F8261F" w:rsidRDefault="00F8261F" w:rsidP="00F8261F">
      <w:pPr>
        <w:pStyle w:val="Nadpis4"/>
        <w:spacing w:before="0" w:beforeAutospacing="0" w:after="0" w:afterAutospacing="0" w:line="240" w:lineRule="atLeast"/>
        <w:ind w:left="709"/>
        <w:jc w:val="both"/>
        <w:rPr>
          <w:rFonts w:ascii="Tahoma" w:hAnsi="Tahoma" w:cs="Tahoma"/>
          <w:b w:val="0"/>
          <w:sz w:val="21"/>
          <w:szCs w:val="21"/>
        </w:rPr>
      </w:pPr>
    </w:p>
    <w:p w14:paraId="259C6207" w14:textId="77777777" w:rsidR="006C4840" w:rsidRPr="00F8261F" w:rsidRDefault="006C4840" w:rsidP="006C4840">
      <w:pPr>
        <w:pStyle w:val="Nadpis4"/>
        <w:numPr>
          <w:ilvl w:val="0"/>
          <w:numId w:val="2"/>
        </w:numPr>
        <w:spacing w:before="0" w:beforeAutospacing="0" w:after="0" w:afterAutospacing="0" w:line="240" w:lineRule="atLeast"/>
        <w:ind w:left="709" w:hanging="425"/>
        <w:jc w:val="both"/>
        <w:rPr>
          <w:rFonts w:ascii="Tahoma" w:hAnsi="Tahoma" w:cs="Tahoma"/>
          <w:iCs/>
          <w:sz w:val="21"/>
          <w:szCs w:val="21"/>
        </w:rPr>
      </w:pPr>
      <w:r w:rsidRPr="00D7549D">
        <w:rPr>
          <w:rFonts w:ascii="Tahoma" w:hAnsi="Tahoma" w:cs="Tahoma"/>
          <w:sz w:val="21"/>
          <w:szCs w:val="21"/>
        </w:rPr>
        <w:t xml:space="preserve">Objemné </w:t>
      </w:r>
      <w:r w:rsidRPr="00D7549D">
        <w:rPr>
          <w:rFonts w:ascii="Tahoma" w:hAnsi="Tahoma" w:cs="Tahoma"/>
          <w:b w:val="0"/>
          <w:sz w:val="21"/>
          <w:szCs w:val="21"/>
        </w:rPr>
        <w:t xml:space="preserve">jsou odpady, které se nevejdou do popelnice, např. starý nábytek, koberce, linolea, umyvadla, toalety, kuchyňské linky atd. Tyto odpady lze zdarma odevzdat </w:t>
      </w:r>
      <w:r w:rsidR="00604C8F">
        <w:rPr>
          <w:rFonts w:ascii="Tahoma" w:hAnsi="Tahoma" w:cs="Tahoma"/>
          <w:b w:val="0"/>
          <w:sz w:val="21"/>
          <w:szCs w:val="21"/>
        </w:rPr>
        <w:br/>
      </w:r>
      <w:r w:rsidRPr="00D7549D">
        <w:rPr>
          <w:rFonts w:ascii="Tahoma" w:hAnsi="Tahoma" w:cs="Tahoma"/>
          <w:b w:val="0"/>
          <w:sz w:val="21"/>
          <w:szCs w:val="21"/>
        </w:rPr>
        <w:t xml:space="preserve">ve sběrných dvorech nebo </w:t>
      </w:r>
      <w:r w:rsidRPr="008B13CE">
        <w:rPr>
          <w:rFonts w:ascii="Tahoma" w:hAnsi="Tahoma" w:cs="Tahoma"/>
          <w:b w:val="0"/>
          <w:bCs w:val="0"/>
          <w:sz w:val="21"/>
          <w:szCs w:val="21"/>
        </w:rPr>
        <w:t>v rámci svozů, které probíhají v měsících březen, květen, červenec,</w:t>
      </w:r>
      <w:r w:rsidR="00F43AED">
        <w:rPr>
          <w:rFonts w:ascii="Tahoma" w:hAnsi="Tahoma" w:cs="Tahoma"/>
          <w:b w:val="0"/>
          <w:bCs w:val="0"/>
          <w:sz w:val="21"/>
          <w:szCs w:val="21"/>
        </w:rPr>
        <w:t xml:space="preserve"> </w:t>
      </w:r>
      <w:r w:rsidRPr="008B13CE">
        <w:rPr>
          <w:rFonts w:ascii="Tahoma" w:hAnsi="Tahoma" w:cs="Tahoma"/>
          <w:b w:val="0"/>
          <w:bCs w:val="0"/>
          <w:sz w:val="21"/>
          <w:szCs w:val="21"/>
        </w:rPr>
        <w:t>září a listopad</w:t>
      </w:r>
      <w:r w:rsidR="00551375">
        <w:rPr>
          <w:rFonts w:ascii="Tahoma" w:hAnsi="Tahoma" w:cs="Tahoma"/>
          <w:b w:val="0"/>
          <w:bCs w:val="0"/>
          <w:sz w:val="21"/>
          <w:szCs w:val="21"/>
        </w:rPr>
        <w:t>,</w:t>
      </w:r>
      <w:r w:rsidRPr="008B13CE">
        <w:rPr>
          <w:rFonts w:ascii="Tahoma" w:hAnsi="Tahoma" w:cs="Tahoma"/>
          <w:b w:val="0"/>
          <w:bCs w:val="0"/>
          <w:sz w:val="21"/>
          <w:szCs w:val="21"/>
        </w:rPr>
        <w:t xml:space="preserve"> formou přistavení velkoobjemových kontejnerů v předem stanovených ulicích.</w:t>
      </w:r>
    </w:p>
    <w:p w14:paraId="7B697C1C" w14:textId="77777777" w:rsidR="00F8261F" w:rsidRPr="00762258" w:rsidRDefault="00F8261F" w:rsidP="00F8261F">
      <w:pPr>
        <w:pStyle w:val="Nadpis4"/>
        <w:spacing w:before="0" w:beforeAutospacing="0" w:after="0" w:afterAutospacing="0" w:line="240" w:lineRule="atLeast"/>
        <w:ind w:left="709"/>
        <w:jc w:val="both"/>
        <w:rPr>
          <w:rFonts w:ascii="Tahoma" w:hAnsi="Tahoma" w:cs="Tahoma"/>
          <w:iCs/>
          <w:sz w:val="21"/>
          <w:szCs w:val="21"/>
        </w:rPr>
      </w:pPr>
    </w:p>
    <w:p w14:paraId="18CB28A6" w14:textId="0F7C87F2" w:rsidR="006C4840" w:rsidRPr="00F8261F" w:rsidRDefault="006C4840" w:rsidP="006C4840">
      <w:pPr>
        <w:pStyle w:val="Nadpis4"/>
        <w:numPr>
          <w:ilvl w:val="0"/>
          <w:numId w:val="3"/>
        </w:numPr>
        <w:spacing w:before="0" w:beforeAutospacing="0" w:after="0" w:afterAutospacing="0" w:line="240" w:lineRule="atLeast"/>
        <w:jc w:val="both"/>
        <w:rPr>
          <w:rFonts w:ascii="Tahoma" w:hAnsi="Tahoma" w:cs="Tahoma"/>
          <w:iCs/>
          <w:sz w:val="21"/>
          <w:szCs w:val="21"/>
        </w:rPr>
      </w:pPr>
      <w:r w:rsidRPr="00D7549D">
        <w:rPr>
          <w:rFonts w:ascii="Tahoma" w:hAnsi="Tahoma" w:cs="Tahoma"/>
          <w:sz w:val="21"/>
          <w:szCs w:val="21"/>
        </w:rPr>
        <w:t xml:space="preserve">Nebezpečné </w:t>
      </w:r>
      <w:r w:rsidRPr="00D7549D">
        <w:rPr>
          <w:rFonts w:ascii="Tahoma" w:hAnsi="Tahoma" w:cs="Tahoma"/>
          <w:b w:val="0"/>
          <w:sz w:val="21"/>
          <w:szCs w:val="21"/>
        </w:rPr>
        <w:t>odpady mají nebezpečné vlastnosti, proto se nesmí vyhazovat do popelnic a</w:t>
      </w:r>
      <w:r w:rsidR="00940F3B">
        <w:rPr>
          <w:rFonts w:ascii="Tahoma" w:hAnsi="Tahoma" w:cs="Tahoma"/>
          <w:b w:val="0"/>
          <w:sz w:val="21"/>
          <w:szCs w:val="21"/>
        </w:rPr>
        <w:t> </w:t>
      </w:r>
      <w:r w:rsidRPr="00D7549D">
        <w:rPr>
          <w:rFonts w:ascii="Tahoma" w:hAnsi="Tahoma" w:cs="Tahoma"/>
          <w:b w:val="0"/>
          <w:sz w:val="21"/>
          <w:szCs w:val="21"/>
        </w:rPr>
        <w:t>kontejnerů, např. léky, zářivky, výbojky, akumulátory, galvanické články (baterky), ledničky</w:t>
      </w:r>
      <w:r w:rsidR="00762258">
        <w:rPr>
          <w:rFonts w:ascii="Tahoma" w:hAnsi="Tahoma" w:cs="Tahoma"/>
          <w:b w:val="0"/>
          <w:sz w:val="21"/>
          <w:szCs w:val="21"/>
        </w:rPr>
        <w:t xml:space="preserve">, </w:t>
      </w:r>
      <w:r w:rsidRPr="00D7549D">
        <w:rPr>
          <w:rFonts w:ascii="Tahoma" w:hAnsi="Tahoma" w:cs="Tahoma"/>
          <w:b w:val="0"/>
          <w:sz w:val="21"/>
          <w:szCs w:val="21"/>
        </w:rPr>
        <w:t>mrazničky, barvy, lepidla, oleje a nádoby jimi znečištěné atd. Nebezpečné odpady lze zdarma odevzdat ve sběrných dvorech nebo na jaře a na podzim</w:t>
      </w:r>
      <w:r w:rsidRPr="00D7549D">
        <w:rPr>
          <w:rFonts w:ascii="Tahoma" w:hAnsi="Tahoma" w:cs="Tahoma"/>
          <w:b w:val="0"/>
          <w:bCs w:val="0"/>
          <w:sz w:val="21"/>
          <w:szCs w:val="21"/>
        </w:rPr>
        <w:t xml:space="preserve"> </w:t>
      </w:r>
      <w:r w:rsidRPr="00D7549D">
        <w:rPr>
          <w:rFonts w:ascii="Tahoma" w:hAnsi="Tahoma" w:cs="Tahoma"/>
          <w:b w:val="0"/>
          <w:sz w:val="21"/>
          <w:szCs w:val="21"/>
        </w:rPr>
        <w:t>na vybraných místech při sběru nebezpečných odpadů v místních částech města Frýdku</w:t>
      </w:r>
      <w:r w:rsidRPr="00D7549D">
        <w:rPr>
          <w:rFonts w:ascii="Tahoma" w:hAnsi="Tahoma" w:cs="Tahoma"/>
          <w:b w:val="0"/>
          <w:sz w:val="21"/>
          <w:szCs w:val="21"/>
        </w:rPr>
        <w:noBreakHyphen/>
        <w:t>Místku.</w:t>
      </w:r>
      <w:r w:rsidRPr="00D7549D">
        <w:rPr>
          <w:rFonts w:ascii="Tahoma" w:hAnsi="Tahoma" w:cs="Tahoma"/>
          <w:iCs/>
          <w:sz w:val="21"/>
          <w:szCs w:val="21"/>
        </w:rPr>
        <w:t xml:space="preserve"> </w:t>
      </w:r>
      <w:r w:rsidRPr="00D7549D">
        <w:rPr>
          <w:rFonts w:ascii="Tahoma" w:hAnsi="Tahoma" w:cs="Tahoma"/>
          <w:b w:val="0"/>
          <w:sz w:val="21"/>
          <w:szCs w:val="21"/>
        </w:rPr>
        <w:t>Nevyužité léky nebo baterie lze také zdarma odložit do nádob umístěných v</w:t>
      </w:r>
      <w:r w:rsidR="006C3C2F">
        <w:rPr>
          <w:rFonts w:ascii="Tahoma" w:hAnsi="Tahoma" w:cs="Tahoma"/>
          <w:b w:val="0"/>
          <w:sz w:val="21"/>
          <w:szCs w:val="21"/>
        </w:rPr>
        <w:t> </w:t>
      </w:r>
      <w:r w:rsidRPr="00D7549D">
        <w:rPr>
          <w:rFonts w:ascii="Tahoma" w:hAnsi="Tahoma" w:cs="Tahoma"/>
          <w:b w:val="0"/>
          <w:sz w:val="21"/>
          <w:szCs w:val="21"/>
        </w:rPr>
        <w:t>lékárnách a obchodech.</w:t>
      </w:r>
    </w:p>
    <w:p w14:paraId="44E32020" w14:textId="77777777" w:rsidR="00F8261F" w:rsidRPr="00762258" w:rsidRDefault="00F8261F" w:rsidP="00F8261F">
      <w:pPr>
        <w:pStyle w:val="Nadpis4"/>
        <w:spacing w:before="0" w:beforeAutospacing="0" w:after="0" w:afterAutospacing="0" w:line="240" w:lineRule="atLeast"/>
        <w:ind w:left="720"/>
        <w:jc w:val="both"/>
        <w:rPr>
          <w:rFonts w:ascii="Tahoma" w:hAnsi="Tahoma" w:cs="Tahoma"/>
          <w:iCs/>
          <w:sz w:val="21"/>
          <w:szCs w:val="21"/>
        </w:rPr>
      </w:pPr>
    </w:p>
    <w:p w14:paraId="585451D3" w14:textId="77777777" w:rsidR="006C4840" w:rsidRDefault="006C4840" w:rsidP="006C4840">
      <w:pPr>
        <w:pStyle w:val="Nadpis4"/>
        <w:numPr>
          <w:ilvl w:val="0"/>
          <w:numId w:val="4"/>
        </w:numPr>
        <w:spacing w:before="0" w:beforeAutospacing="0" w:after="0" w:afterAutospacing="0" w:line="240" w:lineRule="atLeast"/>
        <w:ind w:left="709" w:hanging="425"/>
        <w:jc w:val="both"/>
        <w:rPr>
          <w:rFonts w:ascii="Tahoma" w:hAnsi="Tahoma" w:cs="Tahoma"/>
          <w:b w:val="0"/>
          <w:sz w:val="21"/>
          <w:szCs w:val="21"/>
        </w:rPr>
      </w:pPr>
      <w:r w:rsidRPr="00D7549D">
        <w:rPr>
          <w:rFonts w:ascii="Tahoma" w:hAnsi="Tahoma" w:cs="Tahoma"/>
          <w:sz w:val="21"/>
          <w:szCs w:val="21"/>
        </w:rPr>
        <w:t xml:space="preserve">Směsný komunální </w:t>
      </w:r>
      <w:proofErr w:type="gramStart"/>
      <w:r w:rsidRPr="00D7549D">
        <w:rPr>
          <w:rFonts w:ascii="Tahoma" w:hAnsi="Tahoma" w:cs="Tahoma"/>
          <w:sz w:val="21"/>
          <w:szCs w:val="21"/>
        </w:rPr>
        <w:t>odpad</w:t>
      </w:r>
      <w:r w:rsidRPr="00D7549D">
        <w:rPr>
          <w:rFonts w:ascii="Tahoma" w:hAnsi="Tahoma" w:cs="Tahoma"/>
          <w:b w:val="0"/>
          <w:sz w:val="21"/>
          <w:szCs w:val="21"/>
        </w:rPr>
        <w:t xml:space="preserve"> </w:t>
      </w:r>
      <w:r w:rsidRPr="00D7549D">
        <w:rPr>
          <w:rFonts w:ascii="Tahoma" w:hAnsi="Tahoma" w:cs="Tahoma"/>
          <w:sz w:val="21"/>
          <w:szCs w:val="21"/>
        </w:rPr>
        <w:t xml:space="preserve">- </w:t>
      </w:r>
      <w:r w:rsidRPr="00D7549D">
        <w:rPr>
          <w:rFonts w:ascii="Tahoma" w:hAnsi="Tahoma" w:cs="Tahoma"/>
          <w:b w:val="0"/>
          <w:sz w:val="21"/>
          <w:szCs w:val="21"/>
        </w:rPr>
        <w:t>odpady</w:t>
      </w:r>
      <w:proofErr w:type="gramEnd"/>
      <w:r w:rsidRPr="00D7549D">
        <w:rPr>
          <w:rFonts w:ascii="Tahoma" w:hAnsi="Tahoma" w:cs="Tahoma"/>
          <w:b w:val="0"/>
          <w:sz w:val="21"/>
          <w:szCs w:val="21"/>
        </w:rPr>
        <w:t>, které zbydou po vytřídění využitelných a nebezpečných odpadů, např. znečištěné (mastné) obaly od potravin, voskovaný papír,</w:t>
      </w:r>
      <w:r w:rsidR="00762258">
        <w:rPr>
          <w:rFonts w:ascii="Tahoma" w:hAnsi="Tahoma" w:cs="Tahoma"/>
          <w:b w:val="0"/>
          <w:sz w:val="21"/>
          <w:szCs w:val="21"/>
        </w:rPr>
        <w:t xml:space="preserve"> </w:t>
      </w:r>
      <w:r w:rsidRPr="00D7549D">
        <w:rPr>
          <w:rFonts w:ascii="Tahoma" w:hAnsi="Tahoma" w:cs="Tahoma"/>
          <w:b w:val="0"/>
          <w:sz w:val="21"/>
          <w:szCs w:val="21"/>
        </w:rPr>
        <w:t>porcelán, popel, zbytky masa a kostí apod.</w:t>
      </w:r>
    </w:p>
    <w:p w14:paraId="35D40291" w14:textId="77777777" w:rsidR="00F8261F" w:rsidRDefault="00F8261F" w:rsidP="00F8261F">
      <w:pPr>
        <w:pStyle w:val="Nadpis4"/>
        <w:spacing w:before="0" w:beforeAutospacing="0" w:after="0" w:afterAutospacing="0" w:line="240" w:lineRule="atLeast"/>
        <w:ind w:left="709"/>
        <w:jc w:val="both"/>
        <w:rPr>
          <w:rFonts w:ascii="Tahoma" w:hAnsi="Tahoma" w:cs="Tahoma"/>
          <w:b w:val="0"/>
          <w:sz w:val="21"/>
          <w:szCs w:val="21"/>
        </w:rPr>
      </w:pPr>
    </w:p>
    <w:p w14:paraId="21733245" w14:textId="77777777" w:rsidR="006C4840" w:rsidRPr="00105838" w:rsidRDefault="006C4840" w:rsidP="006C4840">
      <w:pPr>
        <w:pStyle w:val="Nadpis4"/>
        <w:numPr>
          <w:ilvl w:val="0"/>
          <w:numId w:val="4"/>
        </w:numPr>
        <w:spacing w:before="0" w:beforeAutospacing="0" w:after="0" w:afterAutospacing="0" w:line="240" w:lineRule="atLeast"/>
        <w:ind w:left="709" w:hanging="425"/>
        <w:jc w:val="both"/>
        <w:rPr>
          <w:rFonts w:ascii="Tahoma" w:hAnsi="Tahoma" w:cs="Tahoma"/>
          <w:b w:val="0"/>
          <w:sz w:val="21"/>
          <w:szCs w:val="21"/>
        </w:rPr>
      </w:pPr>
      <w:r w:rsidRPr="00D7549D">
        <w:rPr>
          <w:rFonts w:ascii="Tahoma" w:hAnsi="Tahoma" w:cs="Tahoma"/>
          <w:sz w:val="21"/>
          <w:szCs w:val="21"/>
        </w:rPr>
        <w:t xml:space="preserve">Biologický odpad – </w:t>
      </w:r>
      <w:r w:rsidRPr="00D7549D">
        <w:rPr>
          <w:rFonts w:ascii="Tahoma" w:hAnsi="Tahoma" w:cs="Tahoma"/>
          <w:b w:val="0"/>
          <w:bCs w:val="0"/>
          <w:sz w:val="21"/>
          <w:szCs w:val="21"/>
        </w:rPr>
        <w:t xml:space="preserve">jedná se o organické složky odpadů, které lze dále využít </w:t>
      </w:r>
      <w:r w:rsidRPr="00D7549D">
        <w:rPr>
          <w:rFonts w:ascii="Tahoma" w:hAnsi="Tahoma" w:cs="Tahoma"/>
          <w:b w:val="0"/>
          <w:bCs w:val="0"/>
          <w:sz w:val="21"/>
          <w:szCs w:val="21"/>
        </w:rPr>
        <w:br/>
        <w:t xml:space="preserve">a ve formě kompostu je lze zpátky vracet do půdy. Jedná se o odpad ze zahrad, zeminu </w:t>
      </w:r>
      <w:r>
        <w:rPr>
          <w:rFonts w:ascii="Tahoma" w:hAnsi="Tahoma" w:cs="Tahoma"/>
          <w:b w:val="0"/>
          <w:bCs w:val="0"/>
          <w:sz w:val="21"/>
          <w:szCs w:val="21"/>
        </w:rPr>
        <w:t>z</w:t>
      </w:r>
      <w:r w:rsidRPr="00D7549D">
        <w:rPr>
          <w:rFonts w:ascii="Tahoma" w:hAnsi="Tahoma" w:cs="Tahoma"/>
          <w:b w:val="0"/>
          <w:bCs w:val="0"/>
          <w:sz w:val="21"/>
          <w:szCs w:val="21"/>
        </w:rPr>
        <w:t> květináčů, ořezy tenkých vět</w:t>
      </w:r>
      <w:r>
        <w:rPr>
          <w:rFonts w:ascii="Tahoma" w:hAnsi="Tahoma" w:cs="Tahoma"/>
          <w:b w:val="0"/>
          <w:bCs w:val="0"/>
          <w:sz w:val="21"/>
          <w:szCs w:val="21"/>
        </w:rPr>
        <w:t>v</w:t>
      </w:r>
      <w:r w:rsidRPr="00D7549D">
        <w:rPr>
          <w:rFonts w:ascii="Tahoma" w:hAnsi="Tahoma" w:cs="Tahoma"/>
          <w:b w:val="0"/>
          <w:bCs w:val="0"/>
          <w:sz w:val="21"/>
          <w:szCs w:val="21"/>
        </w:rPr>
        <w:t>í, případně štěpky dřevin, drny, spadané ovoce, zbytky zeleniny a ovoce z domácností, čajové sáčky, kávová sedlina apod.</w:t>
      </w:r>
    </w:p>
    <w:p w14:paraId="5B5C4061" w14:textId="77777777" w:rsidR="00105838" w:rsidRPr="00105838" w:rsidRDefault="00105838" w:rsidP="00105838">
      <w:pPr>
        <w:pStyle w:val="Nadpis4"/>
        <w:spacing w:before="0" w:beforeAutospacing="0" w:after="0" w:afterAutospacing="0" w:line="240" w:lineRule="atLeast"/>
        <w:ind w:left="709"/>
        <w:jc w:val="both"/>
        <w:rPr>
          <w:rFonts w:ascii="Tahoma" w:hAnsi="Tahoma" w:cs="Tahoma"/>
          <w:b w:val="0"/>
          <w:sz w:val="21"/>
          <w:szCs w:val="21"/>
        </w:rPr>
      </w:pPr>
    </w:p>
    <w:p w14:paraId="7D1EB5BB" w14:textId="37780E14" w:rsidR="00105838" w:rsidRPr="00105838" w:rsidRDefault="00105838" w:rsidP="006C4840">
      <w:pPr>
        <w:pStyle w:val="Nadpis4"/>
        <w:numPr>
          <w:ilvl w:val="0"/>
          <w:numId w:val="4"/>
        </w:numPr>
        <w:spacing w:before="0" w:beforeAutospacing="0" w:after="0" w:afterAutospacing="0" w:line="240" w:lineRule="atLeast"/>
        <w:ind w:left="709" w:hanging="425"/>
        <w:jc w:val="both"/>
        <w:rPr>
          <w:rFonts w:ascii="Tahoma" w:hAnsi="Tahoma" w:cs="Tahoma"/>
          <w:b w:val="0"/>
          <w:bCs w:val="0"/>
          <w:sz w:val="21"/>
          <w:szCs w:val="21"/>
        </w:rPr>
      </w:pPr>
      <w:r>
        <w:rPr>
          <w:rFonts w:ascii="Tahoma" w:hAnsi="Tahoma" w:cs="Tahoma"/>
          <w:sz w:val="21"/>
          <w:szCs w:val="21"/>
        </w:rPr>
        <w:t xml:space="preserve">Potravinářské oleje a </w:t>
      </w:r>
      <w:proofErr w:type="gramStart"/>
      <w:r>
        <w:rPr>
          <w:rFonts w:ascii="Tahoma" w:hAnsi="Tahoma" w:cs="Tahoma"/>
          <w:sz w:val="21"/>
          <w:szCs w:val="21"/>
        </w:rPr>
        <w:t>tuky -</w:t>
      </w:r>
      <w:r>
        <w:rPr>
          <w:rFonts w:ascii="Tahoma" w:hAnsi="Tahoma" w:cs="Tahoma"/>
          <w:b w:val="0"/>
          <w:sz w:val="21"/>
          <w:szCs w:val="21"/>
        </w:rPr>
        <w:t xml:space="preserve"> </w:t>
      </w:r>
      <w:r>
        <w:rPr>
          <w:rFonts w:ascii="Tahoma" w:hAnsi="Tahoma" w:cs="Tahoma"/>
          <w:b w:val="0"/>
          <w:bCs w:val="0"/>
          <w:sz w:val="21"/>
          <w:szCs w:val="21"/>
          <w:shd w:val="clear" w:color="auto" w:fill="FFFFFF"/>
        </w:rPr>
        <w:t>d</w:t>
      </w:r>
      <w:r w:rsidRPr="00105838">
        <w:rPr>
          <w:rFonts w:ascii="Tahoma" w:hAnsi="Tahoma" w:cs="Tahoma"/>
          <w:b w:val="0"/>
          <w:bCs w:val="0"/>
          <w:sz w:val="21"/>
          <w:szCs w:val="21"/>
          <w:shd w:val="clear" w:color="auto" w:fill="FFFFFF"/>
        </w:rPr>
        <w:t>o</w:t>
      </w:r>
      <w:proofErr w:type="gramEnd"/>
      <w:r w:rsidRPr="00105838">
        <w:rPr>
          <w:rFonts w:ascii="Tahoma" w:hAnsi="Tahoma" w:cs="Tahoma"/>
          <w:b w:val="0"/>
          <w:bCs w:val="0"/>
          <w:sz w:val="21"/>
          <w:szCs w:val="21"/>
          <w:shd w:val="clear" w:color="auto" w:fill="FFFFFF"/>
        </w:rPr>
        <w:t xml:space="preserve"> nádob na jedlé tuky a oleje patří všechny druhy potravinářských olejů (slunečnicový, řepkový, olivový, kokosový a další) a tuků (máslo, margarín nebo sádlo). Týká se to i olejů a tuků z konzerv či potravin nakládaných v oleji nebo marinád na grilování. Oleje ze smažení a fritování se nechají vystydnout a přelejí se ideálně do PET lahví, ve kterých se odevzdávají do nádob na tříděné tuky a oleje či do sběrného dvora. V plastových nádobách se doporučuje odevzdávat všechny jedlé tuky a</w:t>
      </w:r>
      <w:r w:rsidR="00940F3B">
        <w:rPr>
          <w:rFonts w:ascii="Tahoma" w:hAnsi="Tahoma" w:cs="Tahoma"/>
          <w:b w:val="0"/>
          <w:bCs w:val="0"/>
          <w:sz w:val="21"/>
          <w:szCs w:val="21"/>
          <w:shd w:val="clear" w:color="auto" w:fill="FFFFFF"/>
        </w:rPr>
        <w:t> </w:t>
      </w:r>
      <w:r w:rsidRPr="00105838">
        <w:rPr>
          <w:rFonts w:ascii="Tahoma" w:hAnsi="Tahoma" w:cs="Tahoma"/>
          <w:b w:val="0"/>
          <w:bCs w:val="0"/>
          <w:sz w:val="21"/>
          <w:szCs w:val="21"/>
          <w:shd w:val="clear" w:color="auto" w:fill="FFFFFF"/>
        </w:rPr>
        <w:t>oleje.</w:t>
      </w:r>
    </w:p>
    <w:p w14:paraId="1E2EC7BD" w14:textId="77777777" w:rsidR="004E1F78" w:rsidRPr="004E1F78" w:rsidRDefault="004E1F78" w:rsidP="004E1F78">
      <w:pPr>
        <w:pStyle w:val="Nadpis4"/>
        <w:spacing w:before="0" w:beforeAutospacing="0" w:after="0" w:afterAutospacing="0" w:line="240" w:lineRule="atLeast"/>
        <w:ind w:left="709"/>
        <w:jc w:val="both"/>
        <w:rPr>
          <w:rFonts w:ascii="Tahoma" w:hAnsi="Tahoma" w:cs="Tahoma"/>
          <w:b w:val="0"/>
          <w:sz w:val="21"/>
          <w:szCs w:val="21"/>
        </w:rPr>
      </w:pPr>
    </w:p>
    <w:p w14:paraId="03B15A6E" w14:textId="77777777" w:rsidR="004E1F78" w:rsidRPr="00387EEA" w:rsidRDefault="004E1F78" w:rsidP="006C4840">
      <w:pPr>
        <w:pStyle w:val="Nadpis4"/>
        <w:numPr>
          <w:ilvl w:val="0"/>
          <w:numId w:val="4"/>
        </w:numPr>
        <w:spacing w:before="0" w:beforeAutospacing="0" w:after="0" w:afterAutospacing="0" w:line="240" w:lineRule="atLeast"/>
        <w:ind w:left="709" w:hanging="425"/>
        <w:jc w:val="both"/>
        <w:rPr>
          <w:rFonts w:ascii="Tahoma" w:hAnsi="Tahoma" w:cs="Tahoma"/>
          <w:b w:val="0"/>
          <w:sz w:val="21"/>
          <w:szCs w:val="21"/>
        </w:rPr>
      </w:pPr>
      <w:r w:rsidRPr="00387EEA">
        <w:rPr>
          <w:rFonts w:ascii="Tahoma" w:hAnsi="Tahoma" w:cs="Tahoma"/>
          <w:sz w:val="21"/>
          <w:szCs w:val="21"/>
        </w:rPr>
        <w:t>Výrobky s ukončenou životností:</w:t>
      </w:r>
    </w:p>
    <w:p w14:paraId="45E6ED5A" w14:textId="77777777" w:rsidR="00F8261F" w:rsidRDefault="00F8261F" w:rsidP="00105838">
      <w:pPr>
        <w:pStyle w:val="Normlnweb"/>
        <w:shd w:val="clear" w:color="auto" w:fill="FFFFFF"/>
        <w:spacing w:before="0" w:beforeAutospacing="0" w:after="0" w:afterAutospacing="0" w:line="260" w:lineRule="atLeast"/>
        <w:ind w:left="709"/>
        <w:jc w:val="both"/>
        <w:textAlignment w:val="baseline"/>
        <w:rPr>
          <w:rFonts w:ascii="Tahoma" w:hAnsi="Tahoma" w:cs="Tahoma"/>
          <w:sz w:val="21"/>
          <w:szCs w:val="21"/>
        </w:rPr>
      </w:pPr>
      <w:r w:rsidRPr="00387EEA">
        <w:rPr>
          <w:rFonts w:ascii="Tahoma" w:hAnsi="Tahoma" w:cs="Tahoma"/>
          <w:b/>
          <w:bCs/>
          <w:sz w:val="21"/>
          <w:szCs w:val="21"/>
        </w:rPr>
        <w:t>Ele</w:t>
      </w:r>
      <w:r w:rsidR="003968B8">
        <w:rPr>
          <w:rFonts w:ascii="Tahoma" w:hAnsi="Tahoma" w:cs="Tahoma"/>
          <w:b/>
          <w:bCs/>
          <w:sz w:val="21"/>
          <w:szCs w:val="21"/>
        </w:rPr>
        <w:t>k</w:t>
      </w:r>
      <w:r w:rsidRPr="00387EEA">
        <w:rPr>
          <w:rFonts w:ascii="Tahoma" w:hAnsi="Tahoma" w:cs="Tahoma"/>
          <w:b/>
          <w:bCs/>
          <w:sz w:val="21"/>
          <w:szCs w:val="21"/>
        </w:rPr>
        <w:t>trozařízení</w:t>
      </w:r>
      <w:r w:rsidR="004E1F78" w:rsidRPr="00387EEA">
        <w:rPr>
          <w:rFonts w:ascii="Tahoma" w:hAnsi="Tahoma" w:cs="Tahoma"/>
          <w:sz w:val="21"/>
          <w:szCs w:val="21"/>
        </w:rPr>
        <w:t xml:space="preserve"> – jedná se o malý i velký domácí elektrospotřebič - „vše co lze zapojit do elektrické zásuvky nebo funguje na baterie“. Do zpětného odběru tedy patří vše od chladničky, pračky, myčky, sporáku, mikrovlnné trouby, vysavače přes topinkovače, fény, holicí strojky, elektrické zubní kartáčky, televize, rádia, mobilní telefony, počítače až po zářivky, pily, vrtačky, elektrické hračky, lékařská technika a výdejní automaty, nově i bojlery, klimatizace, akumulační kamna, tepelná čerpadla, termostaty, elektrické kotle aj. </w:t>
      </w:r>
    </w:p>
    <w:p w14:paraId="472C62CC" w14:textId="77777777" w:rsidR="00296AA5" w:rsidRPr="00387EEA" w:rsidRDefault="00296AA5" w:rsidP="00105838">
      <w:pPr>
        <w:pStyle w:val="Normlnweb"/>
        <w:shd w:val="clear" w:color="auto" w:fill="FFFFFF"/>
        <w:spacing w:before="0" w:beforeAutospacing="0" w:after="0" w:afterAutospacing="0" w:line="260" w:lineRule="atLeast"/>
        <w:ind w:left="709"/>
        <w:jc w:val="both"/>
        <w:textAlignment w:val="baseline"/>
        <w:rPr>
          <w:rFonts w:ascii="Tahoma" w:hAnsi="Tahoma" w:cs="Tahoma"/>
          <w:sz w:val="21"/>
          <w:szCs w:val="21"/>
        </w:rPr>
      </w:pPr>
    </w:p>
    <w:p w14:paraId="0CD7026E" w14:textId="77777777" w:rsidR="00F8261F" w:rsidRPr="00387EEA" w:rsidRDefault="00F8261F" w:rsidP="004E1F78">
      <w:pPr>
        <w:pStyle w:val="Nadpis4"/>
        <w:spacing w:before="0" w:beforeAutospacing="0" w:after="0" w:afterAutospacing="0" w:line="240" w:lineRule="atLeast"/>
        <w:ind w:left="709"/>
        <w:jc w:val="both"/>
        <w:rPr>
          <w:rFonts w:ascii="Tahoma" w:hAnsi="Tahoma" w:cs="Tahoma"/>
          <w:bCs w:val="0"/>
          <w:sz w:val="21"/>
          <w:szCs w:val="21"/>
        </w:rPr>
      </w:pPr>
      <w:r w:rsidRPr="00387EEA">
        <w:rPr>
          <w:rFonts w:ascii="Tahoma" w:hAnsi="Tahoma" w:cs="Tahoma"/>
          <w:bCs w:val="0"/>
          <w:sz w:val="21"/>
          <w:szCs w:val="21"/>
        </w:rPr>
        <w:t>Baterie</w:t>
      </w:r>
      <w:r w:rsidR="004E1F78" w:rsidRPr="00387EEA">
        <w:rPr>
          <w:rFonts w:ascii="Tahoma" w:hAnsi="Tahoma" w:cs="Tahoma"/>
          <w:bCs w:val="0"/>
          <w:sz w:val="21"/>
          <w:szCs w:val="21"/>
        </w:rPr>
        <w:t xml:space="preserve"> a akumulátory</w:t>
      </w:r>
      <w:r w:rsidR="00387EEA" w:rsidRPr="00387EEA">
        <w:rPr>
          <w:rFonts w:ascii="Tahoma" w:hAnsi="Tahoma" w:cs="Tahoma"/>
          <w:bCs w:val="0"/>
          <w:sz w:val="21"/>
          <w:szCs w:val="21"/>
        </w:rPr>
        <w:t xml:space="preserve"> – </w:t>
      </w:r>
      <w:r w:rsidR="00387EEA" w:rsidRPr="00296AA5">
        <w:rPr>
          <w:rFonts w:ascii="Tahoma" w:hAnsi="Tahoma" w:cs="Tahoma"/>
          <w:b w:val="0"/>
          <w:sz w:val="21"/>
          <w:szCs w:val="21"/>
        </w:rPr>
        <w:t>elektrické a elektrochemické zdroje ener</w:t>
      </w:r>
      <w:r w:rsidR="00105838" w:rsidRPr="00296AA5">
        <w:rPr>
          <w:rFonts w:ascii="Tahoma" w:hAnsi="Tahoma" w:cs="Tahoma"/>
          <w:b w:val="0"/>
          <w:sz w:val="21"/>
          <w:szCs w:val="21"/>
        </w:rPr>
        <w:t>g</w:t>
      </w:r>
      <w:r w:rsidR="00387EEA" w:rsidRPr="00296AA5">
        <w:rPr>
          <w:rFonts w:ascii="Tahoma" w:hAnsi="Tahoma" w:cs="Tahoma"/>
          <w:b w:val="0"/>
          <w:sz w:val="21"/>
          <w:szCs w:val="21"/>
        </w:rPr>
        <w:t>ie</w:t>
      </w:r>
    </w:p>
    <w:p w14:paraId="2F84F307" w14:textId="77777777" w:rsidR="006C4840" w:rsidRPr="00D7549D" w:rsidRDefault="006C4840" w:rsidP="006C4840">
      <w:pPr>
        <w:jc w:val="both"/>
        <w:rPr>
          <w:rFonts w:ascii="Tahoma" w:hAnsi="Tahoma" w:cs="Tahoma"/>
          <w:sz w:val="21"/>
          <w:szCs w:val="21"/>
        </w:rPr>
      </w:pPr>
    </w:p>
    <w:p w14:paraId="1A6C2ECF" w14:textId="13C0F3D4" w:rsidR="006C4840" w:rsidRPr="00965648" w:rsidRDefault="006C4840" w:rsidP="006C4840">
      <w:pPr>
        <w:jc w:val="both"/>
        <w:rPr>
          <w:rFonts w:ascii="Tahoma" w:hAnsi="Tahoma" w:cs="Tahoma"/>
          <w:vanish/>
          <w:sz w:val="21"/>
          <w:szCs w:val="21"/>
          <w:specVanish/>
        </w:rPr>
      </w:pPr>
      <w:r w:rsidRPr="00D7549D">
        <w:rPr>
          <w:rFonts w:ascii="Tahoma" w:hAnsi="Tahoma" w:cs="Tahoma"/>
          <w:sz w:val="21"/>
          <w:szCs w:val="21"/>
        </w:rPr>
        <w:t>K odkládání směsného komunálního odpadu, tj. odpadu z domácností slouží popelnice (</w:t>
      </w:r>
      <w:smartTag w:uri="urn:schemas-microsoft-com:office:smarttags" w:element="metricconverter">
        <w:smartTagPr>
          <w:attr w:name="ProductID" w:val="110 l"/>
        </w:smartTagPr>
        <w:r w:rsidRPr="00D7549D">
          <w:rPr>
            <w:rFonts w:ascii="Tahoma" w:hAnsi="Tahoma" w:cs="Tahoma"/>
            <w:sz w:val="21"/>
            <w:szCs w:val="21"/>
          </w:rPr>
          <w:t>110 l</w:t>
        </w:r>
      </w:smartTag>
      <w:r w:rsidR="00F8261F">
        <w:rPr>
          <w:rFonts w:ascii="Tahoma" w:hAnsi="Tahoma" w:cs="Tahoma"/>
          <w:sz w:val="21"/>
          <w:szCs w:val="21"/>
        </w:rPr>
        <w:t xml:space="preserve">, </w:t>
      </w:r>
      <w:r w:rsidR="00F8261F">
        <w:rPr>
          <w:rFonts w:ascii="Tahoma" w:hAnsi="Tahoma" w:cs="Tahoma"/>
          <w:sz w:val="21"/>
          <w:szCs w:val="21"/>
        </w:rPr>
        <w:br/>
        <w:t>120 l, 240 l</w:t>
      </w:r>
      <w:r w:rsidRPr="00D7549D">
        <w:rPr>
          <w:rFonts w:ascii="Tahoma" w:hAnsi="Tahoma" w:cs="Tahoma"/>
          <w:sz w:val="21"/>
          <w:szCs w:val="21"/>
        </w:rPr>
        <w:t>) nebo kontejnery (1</w:t>
      </w:r>
      <w:r w:rsidR="00F8261F">
        <w:rPr>
          <w:rFonts w:ascii="Tahoma" w:hAnsi="Tahoma" w:cs="Tahoma"/>
          <w:sz w:val="21"/>
          <w:szCs w:val="21"/>
        </w:rPr>
        <w:t xml:space="preserve"> </w:t>
      </w:r>
      <w:r w:rsidRPr="00D7549D">
        <w:rPr>
          <w:rFonts w:ascii="Tahoma" w:hAnsi="Tahoma" w:cs="Tahoma"/>
          <w:sz w:val="21"/>
          <w:szCs w:val="21"/>
        </w:rPr>
        <w:t>100</w:t>
      </w:r>
      <w:r w:rsidR="005E618C">
        <w:rPr>
          <w:rFonts w:ascii="Tahoma" w:hAnsi="Tahoma" w:cs="Tahoma"/>
          <w:sz w:val="21"/>
          <w:szCs w:val="21"/>
        </w:rPr>
        <w:t> </w:t>
      </w:r>
      <w:r w:rsidRPr="00D7549D">
        <w:rPr>
          <w:rFonts w:ascii="Tahoma" w:hAnsi="Tahoma" w:cs="Tahoma"/>
          <w:sz w:val="21"/>
          <w:szCs w:val="21"/>
        </w:rPr>
        <w:t xml:space="preserve">l). Popelnice jsou většinou umísťovány k rodinným domům, </w:t>
      </w:r>
      <w:r w:rsidRPr="00D7549D">
        <w:rPr>
          <w:rFonts w:ascii="Tahoma" w:hAnsi="Tahoma" w:cs="Tahoma"/>
          <w:sz w:val="21"/>
          <w:szCs w:val="21"/>
        </w:rPr>
        <w:br/>
        <w:t>kde probíh</w:t>
      </w:r>
      <w:r w:rsidR="00762258">
        <w:rPr>
          <w:rFonts w:ascii="Tahoma" w:hAnsi="Tahoma" w:cs="Tahoma"/>
          <w:sz w:val="21"/>
          <w:szCs w:val="21"/>
        </w:rPr>
        <w:t>al</w:t>
      </w:r>
      <w:r w:rsidRPr="00D7549D">
        <w:rPr>
          <w:rFonts w:ascii="Tahoma" w:hAnsi="Tahoma" w:cs="Tahoma"/>
          <w:sz w:val="21"/>
          <w:szCs w:val="21"/>
        </w:rPr>
        <w:t xml:space="preserve"> svoz</w:t>
      </w:r>
      <w:r w:rsidR="00762258">
        <w:rPr>
          <w:rFonts w:ascii="Tahoma" w:hAnsi="Tahoma" w:cs="Tahoma"/>
          <w:sz w:val="21"/>
          <w:szCs w:val="21"/>
        </w:rPr>
        <w:t xml:space="preserve"> v roce 2023</w:t>
      </w:r>
      <w:r w:rsidRPr="00D7549D">
        <w:rPr>
          <w:rFonts w:ascii="Tahoma" w:hAnsi="Tahoma" w:cs="Tahoma"/>
          <w:sz w:val="21"/>
          <w:szCs w:val="21"/>
        </w:rPr>
        <w:t xml:space="preserve"> 1x týdně. Kontejnery jsou umísťovány do sídlištní zástavby, kdy svoz probíhá </w:t>
      </w:r>
      <w:r w:rsidR="00C412CA">
        <w:rPr>
          <w:rFonts w:ascii="Tahoma" w:hAnsi="Tahoma" w:cs="Tahoma"/>
          <w:sz w:val="21"/>
          <w:szCs w:val="21"/>
        </w:rPr>
        <w:t>1x,</w:t>
      </w:r>
      <w:r w:rsidR="008C51E6">
        <w:rPr>
          <w:rFonts w:ascii="Tahoma" w:hAnsi="Tahoma" w:cs="Tahoma"/>
          <w:sz w:val="21"/>
          <w:szCs w:val="21"/>
        </w:rPr>
        <w:t xml:space="preserve"> </w:t>
      </w:r>
      <w:r w:rsidRPr="00D7549D">
        <w:rPr>
          <w:rFonts w:ascii="Tahoma" w:hAnsi="Tahoma" w:cs="Tahoma"/>
          <w:sz w:val="21"/>
          <w:szCs w:val="21"/>
        </w:rPr>
        <w:t>2</w:t>
      </w:r>
      <w:r w:rsidR="00C412CA">
        <w:rPr>
          <w:rFonts w:ascii="Tahoma" w:hAnsi="Tahoma" w:cs="Tahoma"/>
          <w:sz w:val="21"/>
          <w:szCs w:val="21"/>
        </w:rPr>
        <w:t xml:space="preserve">x nebo </w:t>
      </w:r>
      <w:r w:rsidRPr="00D7549D">
        <w:rPr>
          <w:rFonts w:ascii="Tahoma" w:hAnsi="Tahoma" w:cs="Tahoma"/>
          <w:sz w:val="21"/>
          <w:szCs w:val="21"/>
        </w:rPr>
        <w:t xml:space="preserve">3x týdně. Kontejnery na separovaný odpad jsou umísťovány v sídlištní zástavbě a v docházkové vzdálenosti rodinných domů. </w:t>
      </w:r>
      <w:r w:rsidR="00EC5DC8">
        <w:rPr>
          <w:rFonts w:ascii="Tahoma" w:hAnsi="Tahoma" w:cs="Tahoma"/>
          <w:sz w:val="21"/>
          <w:szCs w:val="21"/>
        </w:rPr>
        <w:t>Nově byly na konci roku 2023 k rodinným domům přistaven</w:t>
      </w:r>
      <w:r w:rsidR="00F64EF8">
        <w:rPr>
          <w:rFonts w:ascii="Tahoma" w:hAnsi="Tahoma" w:cs="Tahoma"/>
          <w:sz w:val="21"/>
          <w:szCs w:val="21"/>
        </w:rPr>
        <w:t>y</w:t>
      </w:r>
      <w:r w:rsidR="00EC5DC8">
        <w:rPr>
          <w:rFonts w:ascii="Tahoma" w:hAnsi="Tahoma" w:cs="Tahoma"/>
          <w:sz w:val="21"/>
          <w:szCs w:val="21"/>
        </w:rPr>
        <w:t xml:space="preserve"> popelnice na plastové odpady a plechovky od nápojů. </w:t>
      </w:r>
      <w:r w:rsidRPr="00D7549D">
        <w:rPr>
          <w:rFonts w:ascii="Tahoma" w:hAnsi="Tahoma" w:cs="Tahoma"/>
          <w:sz w:val="21"/>
          <w:szCs w:val="21"/>
        </w:rPr>
        <w:t>Nádoby na BIO odpad jsou umístěny u rodinných domů</w:t>
      </w:r>
      <w:r w:rsidR="001B27FE">
        <w:rPr>
          <w:rFonts w:ascii="Tahoma" w:hAnsi="Tahoma" w:cs="Tahoma"/>
          <w:sz w:val="21"/>
          <w:szCs w:val="21"/>
        </w:rPr>
        <w:t xml:space="preserve"> a na </w:t>
      </w:r>
      <w:r w:rsidR="00791B55">
        <w:rPr>
          <w:rFonts w:ascii="Tahoma" w:hAnsi="Tahoma" w:cs="Tahoma"/>
          <w:sz w:val="21"/>
          <w:szCs w:val="21"/>
        </w:rPr>
        <w:t>vybraných</w:t>
      </w:r>
      <w:r w:rsidR="001B27FE">
        <w:rPr>
          <w:rFonts w:ascii="Tahoma" w:hAnsi="Tahoma" w:cs="Tahoma"/>
          <w:sz w:val="21"/>
          <w:szCs w:val="21"/>
        </w:rPr>
        <w:t xml:space="preserve"> </w:t>
      </w:r>
      <w:r w:rsidR="00C412CA">
        <w:rPr>
          <w:rFonts w:ascii="Tahoma" w:hAnsi="Tahoma" w:cs="Tahoma"/>
          <w:sz w:val="21"/>
          <w:szCs w:val="21"/>
        </w:rPr>
        <w:t>sídliští</w:t>
      </w:r>
      <w:r w:rsidR="001B27FE">
        <w:rPr>
          <w:rFonts w:ascii="Tahoma" w:hAnsi="Tahoma" w:cs="Tahoma"/>
          <w:sz w:val="21"/>
          <w:szCs w:val="21"/>
        </w:rPr>
        <w:t xml:space="preserve">ch ve městě. </w:t>
      </w:r>
      <w:r w:rsidR="006F1578">
        <w:rPr>
          <w:rFonts w:ascii="Tahoma" w:hAnsi="Tahoma" w:cs="Tahoma"/>
          <w:sz w:val="21"/>
          <w:szCs w:val="21"/>
        </w:rPr>
        <w:t>Dále je ve městě umístěno 1</w:t>
      </w:r>
      <w:r w:rsidR="00791B55">
        <w:rPr>
          <w:rFonts w:ascii="Tahoma" w:hAnsi="Tahoma" w:cs="Tahoma"/>
          <w:sz w:val="21"/>
          <w:szCs w:val="21"/>
        </w:rPr>
        <w:t>1</w:t>
      </w:r>
      <w:r w:rsidR="006F1578">
        <w:rPr>
          <w:rFonts w:ascii="Tahoma" w:hAnsi="Tahoma" w:cs="Tahoma"/>
          <w:sz w:val="21"/>
          <w:szCs w:val="21"/>
        </w:rPr>
        <w:t>0 nádob</w:t>
      </w:r>
      <w:r w:rsidR="00EC5DC8">
        <w:rPr>
          <w:rFonts w:ascii="Tahoma" w:hAnsi="Tahoma" w:cs="Tahoma"/>
          <w:sz w:val="21"/>
          <w:szCs w:val="21"/>
        </w:rPr>
        <w:t xml:space="preserve"> </w:t>
      </w:r>
      <w:r w:rsidR="006F1578">
        <w:rPr>
          <w:rFonts w:ascii="Tahoma" w:hAnsi="Tahoma" w:cs="Tahoma"/>
          <w:sz w:val="21"/>
          <w:szCs w:val="21"/>
        </w:rPr>
        <w:t>na potravinářské tuky a oleje</w:t>
      </w:r>
      <w:r w:rsidR="006F1578" w:rsidRPr="00965648">
        <w:rPr>
          <w:rFonts w:ascii="Tahoma" w:hAnsi="Tahoma" w:cs="Tahoma"/>
          <w:sz w:val="21"/>
          <w:szCs w:val="21"/>
        </w:rPr>
        <w:t>.</w:t>
      </w:r>
    </w:p>
    <w:p w14:paraId="434C77D1" w14:textId="77777777" w:rsidR="006C4840" w:rsidRPr="00965648" w:rsidRDefault="006B78FF" w:rsidP="006C4840">
      <w:pPr>
        <w:jc w:val="both"/>
        <w:rPr>
          <w:rFonts w:ascii="Tahoma" w:hAnsi="Tahoma" w:cs="Tahoma"/>
          <w:vanish/>
          <w:sz w:val="21"/>
          <w:szCs w:val="21"/>
          <w:specVanish/>
        </w:rPr>
      </w:pPr>
      <w:r w:rsidRPr="00965648">
        <w:rPr>
          <w:rFonts w:ascii="Tahoma" w:hAnsi="Tahoma" w:cs="Tahoma"/>
          <w:sz w:val="21"/>
          <w:szCs w:val="21"/>
        </w:rPr>
        <w:t xml:space="preserve"> </w:t>
      </w:r>
    </w:p>
    <w:p w14:paraId="679D64BD" w14:textId="77777777" w:rsidR="00105838" w:rsidRPr="00105838" w:rsidRDefault="006B78FF" w:rsidP="00105838">
      <w:pPr>
        <w:pStyle w:val="Nadpis4"/>
        <w:numPr>
          <w:ilvl w:val="0"/>
          <w:numId w:val="4"/>
        </w:numPr>
        <w:spacing w:before="0" w:beforeAutospacing="0" w:after="0" w:afterAutospacing="0" w:line="240" w:lineRule="atLeast"/>
        <w:ind w:left="709" w:hanging="425"/>
        <w:jc w:val="both"/>
        <w:rPr>
          <w:rFonts w:ascii="Tahoma" w:hAnsi="Tahoma" w:cs="Tahoma"/>
          <w:b w:val="0"/>
          <w:bCs w:val="0"/>
          <w:sz w:val="21"/>
          <w:szCs w:val="21"/>
        </w:rPr>
      </w:pPr>
      <w:r w:rsidRPr="00965648">
        <w:rPr>
          <w:rFonts w:ascii="Tahoma" w:hAnsi="Tahoma" w:cs="Tahoma"/>
          <w:b w:val="0"/>
          <w:bCs w:val="0"/>
          <w:sz w:val="21"/>
          <w:szCs w:val="21"/>
        </w:rPr>
        <w:t xml:space="preserve"> </w:t>
      </w:r>
      <w:r w:rsidR="00965648" w:rsidRPr="00965648">
        <w:rPr>
          <w:rFonts w:ascii="Tahoma" w:hAnsi="Tahoma" w:cs="Tahoma"/>
          <w:b w:val="0"/>
          <w:bCs w:val="0"/>
          <w:sz w:val="21"/>
          <w:szCs w:val="21"/>
        </w:rPr>
        <w:t>Malé v</w:t>
      </w:r>
      <w:r w:rsidR="00105838" w:rsidRPr="00965648">
        <w:rPr>
          <w:rFonts w:ascii="Tahoma" w:hAnsi="Tahoma" w:cs="Tahoma"/>
          <w:b w:val="0"/>
          <w:bCs w:val="0"/>
          <w:sz w:val="21"/>
          <w:szCs w:val="21"/>
        </w:rPr>
        <w:t>ýrobky</w:t>
      </w:r>
      <w:r w:rsidR="00105838" w:rsidRPr="00105838">
        <w:rPr>
          <w:rFonts w:ascii="Tahoma" w:hAnsi="Tahoma" w:cs="Tahoma"/>
          <w:b w:val="0"/>
          <w:bCs w:val="0"/>
          <w:sz w:val="21"/>
          <w:szCs w:val="21"/>
        </w:rPr>
        <w:t xml:space="preserve"> s ukončenou životností</w:t>
      </w:r>
      <w:r w:rsidR="00965648">
        <w:rPr>
          <w:rFonts w:ascii="Tahoma" w:hAnsi="Tahoma" w:cs="Tahoma"/>
          <w:b w:val="0"/>
          <w:bCs w:val="0"/>
          <w:sz w:val="21"/>
          <w:szCs w:val="21"/>
        </w:rPr>
        <w:t xml:space="preserve"> je možné umístit do červených kontejnerů, umístěných na vybraných stanovištích. Velké</w:t>
      </w:r>
      <w:r w:rsidR="00965648" w:rsidRPr="00965648">
        <w:rPr>
          <w:rFonts w:ascii="Tahoma" w:hAnsi="Tahoma" w:cs="Tahoma"/>
          <w:b w:val="0"/>
          <w:bCs w:val="0"/>
          <w:sz w:val="21"/>
          <w:szCs w:val="21"/>
        </w:rPr>
        <w:t xml:space="preserve"> výrobky</w:t>
      </w:r>
      <w:r w:rsidR="00965648" w:rsidRPr="00105838">
        <w:rPr>
          <w:rFonts w:ascii="Tahoma" w:hAnsi="Tahoma" w:cs="Tahoma"/>
          <w:b w:val="0"/>
          <w:bCs w:val="0"/>
          <w:sz w:val="21"/>
          <w:szCs w:val="21"/>
        </w:rPr>
        <w:t xml:space="preserve"> s ukončenou životností</w:t>
      </w:r>
      <w:r w:rsidR="00965648">
        <w:rPr>
          <w:rFonts w:ascii="Tahoma" w:hAnsi="Tahoma" w:cs="Tahoma"/>
          <w:b w:val="0"/>
          <w:bCs w:val="0"/>
          <w:sz w:val="21"/>
          <w:szCs w:val="21"/>
        </w:rPr>
        <w:t xml:space="preserve"> je možné zdarma odevzdat ve sběrných dvorech.</w:t>
      </w:r>
    </w:p>
    <w:p w14:paraId="1C2EA25F" w14:textId="77777777" w:rsidR="006B78FF" w:rsidRDefault="006B78FF" w:rsidP="006C4840">
      <w:pPr>
        <w:jc w:val="both"/>
        <w:rPr>
          <w:rFonts w:ascii="Tahoma" w:hAnsi="Tahoma" w:cs="Tahoma"/>
          <w:b/>
          <w:sz w:val="21"/>
          <w:szCs w:val="21"/>
        </w:rPr>
      </w:pPr>
    </w:p>
    <w:p w14:paraId="4417C5B7" w14:textId="77777777" w:rsidR="00965648" w:rsidRDefault="00965648" w:rsidP="006C4840">
      <w:pPr>
        <w:jc w:val="both"/>
        <w:rPr>
          <w:rFonts w:ascii="Tahoma" w:hAnsi="Tahoma" w:cs="Tahoma"/>
          <w:b/>
          <w:sz w:val="21"/>
          <w:szCs w:val="21"/>
        </w:rPr>
      </w:pPr>
    </w:p>
    <w:p w14:paraId="5F08E7F4" w14:textId="77777777" w:rsidR="00965648" w:rsidRDefault="00965648" w:rsidP="006C4840">
      <w:pPr>
        <w:jc w:val="both"/>
        <w:rPr>
          <w:rFonts w:ascii="Tahoma" w:hAnsi="Tahoma" w:cs="Tahoma"/>
          <w:b/>
          <w:sz w:val="21"/>
          <w:szCs w:val="21"/>
        </w:rPr>
      </w:pPr>
    </w:p>
    <w:p w14:paraId="73B759BF" w14:textId="77777777" w:rsidR="00965648" w:rsidRDefault="00965648" w:rsidP="006C4840">
      <w:pPr>
        <w:jc w:val="both"/>
        <w:rPr>
          <w:rFonts w:ascii="Tahoma" w:hAnsi="Tahoma" w:cs="Tahoma"/>
          <w:b/>
          <w:sz w:val="21"/>
          <w:szCs w:val="21"/>
        </w:rPr>
      </w:pPr>
    </w:p>
    <w:p w14:paraId="5BFAF9FC" w14:textId="77777777" w:rsidR="00965648" w:rsidRDefault="00965648" w:rsidP="006C4840">
      <w:pPr>
        <w:jc w:val="both"/>
        <w:rPr>
          <w:rFonts w:ascii="Tahoma" w:hAnsi="Tahoma" w:cs="Tahoma"/>
          <w:b/>
          <w:sz w:val="21"/>
          <w:szCs w:val="21"/>
        </w:rPr>
      </w:pPr>
    </w:p>
    <w:p w14:paraId="46550D4A" w14:textId="77777777" w:rsidR="00965648" w:rsidRDefault="00965648" w:rsidP="006C4840">
      <w:pPr>
        <w:jc w:val="both"/>
        <w:rPr>
          <w:rFonts w:ascii="Tahoma" w:hAnsi="Tahoma" w:cs="Tahoma"/>
          <w:b/>
          <w:sz w:val="21"/>
          <w:szCs w:val="21"/>
        </w:rPr>
      </w:pPr>
    </w:p>
    <w:p w14:paraId="47EBBA6E" w14:textId="77777777" w:rsidR="00965648" w:rsidRDefault="00965648" w:rsidP="006C4840">
      <w:pPr>
        <w:jc w:val="both"/>
        <w:rPr>
          <w:rFonts w:ascii="Tahoma" w:hAnsi="Tahoma" w:cs="Tahoma"/>
          <w:b/>
          <w:sz w:val="21"/>
          <w:szCs w:val="21"/>
        </w:rPr>
      </w:pPr>
    </w:p>
    <w:p w14:paraId="395BF30A" w14:textId="77777777" w:rsidR="006C4840" w:rsidRPr="006B78FF" w:rsidRDefault="006C4840" w:rsidP="006C4840">
      <w:pPr>
        <w:jc w:val="both"/>
        <w:rPr>
          <w:rFonts w:ascii="Tahoma" w:hAnsi="Tahoma" w:cs="Tahoma"/>
          <w:b/>
          <w:vanish/>
          <w:sz w:val="21"/>
          <w:szCs w:val="21"/>
          <w:specVanish/>
        </w:rPr>
      </w:pPr>
      <w:r w:rsidRPr="00D7549D">
        <w:rPr>
          <w:rFonts w:ascii="Tahoma" w:hAnsi="Tahoma" w:cs="Tahoma"/>
          <w:b/>
          <w:sz w:val="21"/>
          <w:szCs w:val="21"/>
        </w:rPr>
        <w:t>Směsný komunální odpad</w:t>
      </w:r>
    </w:p>
    <w:p w14:paraId="1787A1C0" w14:textId="77777777" w:rsidR="006C4840" w:rsidRPr="00D7549D" w:rsidRDefault="006B78FF" w:rsidP="006C4840">
      <w:pPr>
        <w:jc w:val="both"/>
        <w:rPr>
          <w:rFonts w:ascii="Tahoma" w:hAnsi="Tahoma" w:cs="Tahoma"/>
          <w:sz w:val="21"/>
          <w:szCs w:val="21"/>
        </w:rPr>
      </w:pPr>
      <w:r>
        <w:rPr>
          <w:rFonts w:ascii="Tahoma" w:hAnsi="Tahoma" w:cs="Tahoma"/>
          <w:sz w:val="21"/>
          <w:szCs w:val="21"/>
        </w:rPr>
        <w:t xml:space="preserve"> </w:t>
      </w:r>
    </w:p>
    <w:p w14:paraId="4954F16E" w14:textId="77777777" w:rsidR="00C12F79" w:rsidRDefault="006B78FF" w:rsidP="00C12F79">
      <w:pPr>
        <w:jc w:val="both"/>
        <w:rPr>
          <w:rFonts w:ascii="Tahoma" w:hAnsi="Tahoma" w:cs="Tahoma"/>
          <w:sz w:val="21"/>
          <w:szCs w:val="21"/>
        </w:rPr>
      </w:pPr>
      <w:r>
        <w:rPr>
          <w:rFonts w:ascii="Tahoma" w:hAnsi="Tahoma" w:cs="Tahoma"/>
          <w:sz w:val="21"/>
          <w:szCs w:val="21"/>
        </w:rPr>
        <w:t>V roce 202</w:t>
      </w:r>
      <w:r w:rsidR="00762258">
        <w:rPr>
          <w:rFonts w:ascii="Tahoma" w:hAnsi="Tahoma" w:cs="Tahoma"/>
          <w:sz w:val="21"/>
          <w:szCs w:val="21"/>
        </w:rPr>
        <w:t>3</w:t>
      </w:r>
      <w:r w:rsidR="006C4840" w:rsidRPr="00D7549D">
        <w:rPr>
          <w:rFonts w:ascii="Tahoma" w:hAnsi="Tahoma" w:cs="Tahoma"/>
          <w:sz w:val="21"/>
          <w:szCs w:val="21"/>
        </w:rPr>
        <w:t xml:space="preserve"> vyprodukovali občané města a statutární město Frýdek-Místek celkem </w:t>
      </w:r>
      <w:r w:rsidR="008C51E6">
        <w:rPr>
          <w:rFonts w:ascii="Tahoma" w:hAnsi="Tahoma" w:cs="Tahoma"/>
          <w:b/>
          <w:bCs/>
          <w:sz w:val="21"/>
          <w:szCs w:val="21"/>
        </w:rPr>
        <w:t>9</w:t>
      </w:r>
      <w:r w:rsidR="004043B3">
        <w:rPr>
          <w:rFonts w:ascii="Tahoma" w:hAnsi="Tahoma" w:cs="Tahoma"/>
          <w:b/>
          <w:bCs/>
          <w:sz w:val="21"/>
          <w:szCs w:val="21"/>
        </w:rPr>
        <w:t> </w:t>
      </w:r>
      <w:r w:rsidR="00762258">
        <w:rPr>
          <w:rFonts w:ascii="Tahoma" w:hAnsi="Tahoma" w:cs="Tahoma"/>
          <w:b/>
          <w:bCs/>
          <w:sz w:val="21"/>
          <w:szCs w:val="21"/>
        </w:rPr>
        <w:t>461</w:t>
      </w:r>
      <w:r w:rsidR="006C4840" w:rsidRPr="00D7549D">
        <w:rPr>
          <w:rFonts w:ascii="Tahoma" w:hAnsi="Tahoma" w:cs="Tahoma"/>
          <w:b/>
          <w:sz w:val="21"/>
          <w:szCs w:val="21"/>
        </w:rPr>
        <w:t xml:space="preserve"> tun </w:t>
      </w:r>
      <w:r w:rsidR="006C4840" w:rsidRPr="00D7549D">
        <w:rPr>
          <w:rFonts w:ascii="Tahoma" w:hAnsi="Tahoma" w:cs="Tahoma"/>
          <w:sz w:val="21"/>
          <w:szCs w:val="21"/>
        </w:rPr>
        <w:t xml:space="preserve">směsného komunálního odpadu. Množství směsného komunálního odpadu uloženého do popelnic a kontejnerů </w:t>
      </w:r>
      <w:r w:rsidR="008C51E6">
        <w:rPr>
          <w:rFonts w:ascii="Tahoma" w:hAnsi="Tahoma" w:cs="Tahoma"/>
          <w:sz w:val="21"/>
          <w:szCs w:val="21"/>
        </w:rPr>
        <w:t>kles</w:t>
      </w:r>
      <w:r w:rsidR="00C412CA">
        <w:rPr>
          <w:rFonts w:ascii="Tahoma" w:hAnsi="Tahoma" w:cs="Tahoma"/>
          <w:sz w:val="21"/>
          <w:szCs w:val="21"/>
        </w:rPr>
        <w:t>lo</w:t>
      </w:r>
      <w:r w:rsidR="006C4840" w:rsidRPr="00687F1E">
        <w:rPr>
          <w:rFonts w:ascii="Tahoma" w:hAnsi="Tahoma" w:cs="Tahoma"/>
          <w:sz w:val="21"/>
          <w:szCs w:val="21"/>
        </w:rPr>
        <w:t xml:space="preserve"> oproti roku 20</w:t>
      </w:r>
      <w:r w:rsidR="00313013">
        <w:rPr>
          <w:rFonts w:ascii="Tahoma" w:hAnsi="Tahoma" w:cs="Tahoma"/>
          <w:sz w:val="21"/>
          <w:szCs w:val="21"/>
        </w:rPr>
        <w:t>2</w:t>
      </w:r>
      <w:r w:rsidR="00762258">
        <w:rPr>
          <w:rFonts w:ascii="Tahoma" w:hAnsi="Tahoma" w:cs="Tahoma"/>
          <w:sz w:val="21"/>
          <w:szCs w:val="21"/>
        </w:rPr>
        <w:t>2</w:t>
      </w:r>
      <w:r w:rsidR="006C4840" w:rsidRPr="00687F1E">
        <w:rPr>
          <w:rFonts w:ascii="Tahoma" w:hAnsi="Tahoma" w:cs="Tahoma"/>
          <w:sz w:val="21"/>
          <w:szCs w:val="21"/>
        </w:rPr>
        <w:t xml:space="preserve"> o</w:t>
      </w:r>
      <w:r w:rsidR="00226514">
        <w:rPr>
          <w:rFonts w:ascii="Tahoma" w:hAnsi="Tahoma" w:cs="Tahoma"/>
          <w:sz w:val="21"/>
          <w:szCs w:val="21"/>
        </w:rPr>
        <w:t xml:space="preserve"> </w:t>
      </w:r>
      <w:r w:rsidR="00762258">
        <w:rPr>
          <w:rFonts w:ascii="Tahoma" w:hAnsi="Tahoma" w:cs="Tahoma"/>
          <w:sz w:val="21"/>
          <w:szCs w:val="21"/>
        </w:rPr>
        <w:t>177</w:t>
      </w:r>
      <w:r w:rsidR="00226514">
        <w:rPr>
          <w:rFonts w:ascii="Tahoma" w:hAnsi="Tahoma" w:cs="Tahoma"/>
          <w:sz w:val="21"/>
          <w:szCs w:val="21"/>
        </w:rPr>
        <w:t xml:space="preserve"> tun</w:t>
      </w:r>
      <w:r w:rsidR="006C4840" w:rsidRPr="00687F1E">
        <w:rPr>
          <w:rFonts w:ascii="Tahoma" w:hAnsi="Tahoma" w:cs="Tahoma"/>
          <w:sz w:val="21"/>
          <w:szCs w:val="21"/>
        </w:rPr>
        <w:t>.</w:t>
      </w:r>
      <w:r w:rsidR="006C4840" w:rsidRPr="00D7549D">
        <w:rPr>
          <w:rFonts w:ascii="Tahoma" w:hAnsi="Tahoma" w:cs="Tahoma"/>
          <w:sz w:val="21"/>
          <w:szCs w:val="21"/>
        </w:rPr>
        <w:t xml:space="preserve"> Vývoj množství směsného komunálního odpadu v letech 2003–20</w:t>
      </w:r>
      <w:r>
        <w:rPr>
          <w:rFonts w:ascii="Tahoma" w:hAnsi="Tahoma" w:cs="Tahoma"/>
          <w:sz w:val="21"/>
          <w:szCs w:val="21"/>
        </w:rPr>
        <w:t>2</w:t>
      </w:r>
      <w:r w:rsidR="00762258">
        <w:rPr>
          <w:rFonts w:ascii="Tahoma" w:hAnsi="Tahoma" w:cs="Tahoma"/>
          <w:sz w:val="21"/>
          <w:szCs w:val="21"/>
        </w:rPr>
        <w:t>3</w:t>
      </w:r>
      <w:r w:rsidR="006C4840" w:rsidRPr="00D7549D">
        <w:rPr>
          <w:rFonts w:ascii="Tahoma" w:hAnsi="Tahoma" w:cs="Tahoma"/>
          <w:sz w:val="21"/>
          <w:szCs w:val="21"/>
        </w:rPr>
        <w:t xml:space="preserve"> znázorňuje graf č. 2.</w:t>
      </w:r>
    </w:p>
    <w:p w14:paraId="5ABEE905" w14:textId="77777777" w:rsidR="00C12F79" w:rsidRDefault="00C12F79" w:rsidP="00C12F79">
      <w:pPr>
        <w:jc w:val="both"/>
        <w:rPr>
          <w:rFonts w:ascii="Tahoma" w:hAnsi="Tahoma" w:cs="Tahoma"/>
          <w:sz w:val="21"/>
          <w:szCs w:val="21"/>
        </w:rPr>
      </w:pPr>
    </w:p>
    <w:p w14:paraId="68FE3969" w14:textId="77777777" w:rsidR="006C4840" w:rsidRDefault="006C4840" w:rsidP="00C12F79">
      <w:pPr>
        <w:jc w:val="both"/>
        <w:rPr>
          <w:rFonts w:ascii="Tahoma" w:hAnsi="Tahoma" w:cs="Tahoma"/>
          <w:b/>
          <w:bCs/>
          <w:sz w:val="21"/>
          <w:szCs w:val="21"/>
        </w:rPr>
      </w:pPr>
      <w:r w:rsidRPr="00C12F79">
        <w:rPr>
          <w:rFonts w:ascii="Tahoma" w:hAnsi="Tahoma" w:cs="Tahoma"/>
          <w:b/>
          <w:bCs/>
          <w:sz w:val="21"/>
          <w:szCs w:val="21"/>
        </w:rPr>
        <w:t>Graf č. 2: Vývoj množství směsného komunálního o</w:t>
      </w:r>
      <w:r w:rsidR="006B78FF" w:rsidRPr="00C12F79">
        <w:rPr>
          <w:rFonts w:ascii="Tahoma" w:hAnsi="Tahoma" w:cs="Tahoma"/>
          <w:b/>
          <w:bCs/>
          <w:sz w:val="21"/>
          <w:szCs w:val="21"/>
        </w:rPr>
        <w:t>dpadu v tunách v letech 2003–202</w:t>
      </w:r>
      <w:r w:rsidR="00762258">
        <w:rPr>
          <w:rFonts w:ascii="Tahoma" w:hAnsi="Tahoma" w:cs="Tahoma"/>
          <w:b/>
          <w:bCs/>
          <w:sz w:val="21"/>
          <w:szCs w:val="21"/>
        </w:rPr>
        <w:t>3</w:t>
      </w:r>
    </w:p>
    <w:p w14:paraId="7BED4DC1" w14:textId="77777777" w:rsidR="00C163E5" w:rsidRDefault="00762258" w:rsidP="00C12F79">
      <w:pPr>
        <w:jc w:val="both"/>
        <w:rPr>
          <w:rFonts w:ascii="Tahoma" w:hAnsi="Tahoma" w:cs="Tahoma"/>
          <w:b/>
          <w:bCs/>
          <w:sz w:val="21"/>
          <w:szCs w:val="21"/>
        </w:rPr>
      </w:pPr>
      <w:r>
        <w:rPr>
          <w:noProof/>
        </w:rPr>
        <w:drawing>
          <wp:inline distT="0" distB="0" distL="0" distR="0" wp14:anchorId="019FC330" wp14:editId="690FC5E0">
            <wp:extent cx="6248400" cy="3754120"/>
            <wp:effectExtent l="0" t="0" r="0" b="0"/>
            <wp:docPr id="1091240805" name="Graf 1">
              <a:extLst xmlns:a="http://schemas.openxmlformats.org/drawingml/2006/main">
                <a:ext uri="{FF2B5EF4-FFF2-40B4-BE49-F238E27FC236}">
                  <a16:creationId xmlns:a16="http://schemas.microsoft.com/office/drawing/2014/main" id="{00000000-0008-0000-04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9CCD26F" w14:textId="77777777" w:rsidR="006C4840" w:rsidRPr="00F43AED" w:rsidRDefault="006C4840" w:rsidP="006C4840">
      <w:pPr>
        <w:jc w:val="both"/>
        <w:rPr>
          <w:rFonts w:ascii="Tahoma" w:hAnsi="Tahoma" w:cs="Tahoma"/>
          <w:color w:val="FFFFFF" w:themeColor="background1"/>
          <w:sz w:val="21"/>
          <w:szCs w:val="21"/>
          <w14:textFill>
            <w14:noFill/>
          </w14:textFill>
        </w:rPr>
      </w:pPr>
    </w:p>
    <w:p w14:paraId="21B1C6C4" w14:textId="77777777" w:rsidR="006C4840" w:rsidRPr="00D7549D" w:rsidRDefault="006C4840" w:rsidP="006C4840">
      <w:pPr>
        <w:jc w:val="both"/>
        <w:rPr>
          <w:rFonts w:ascii="Tahoma" w:hAnsi="Tahoma" w:cs="Tahoma"/>
          <w:b/>
          <w:bCs/>
          <w:sz w:val="21"/>
          <w:szCs w:val="21"/>
        </w:rPr>
      </w:pPr>
    </w:p>
    <w:p w14:paraId="3C2309E5" w14:textId="77777777" w:rsidR="00B569BD" w:rsidRDefault="00B569BD" w:rsidP="006C4840">
      <w:pPr>
        <w:jc w:val="both"/>
        <w:rPr>
          <w:rFonts w:ascii="Tahoma" w:hAnsi="Tahoma" w:cs="Tahoma"/>
          <w:b/>
          <w:bCs/>
          <w:sz w:val="21"/>
          <w:szCs w:val="21"/>
        </w:rPr>
      </w:pPr>
    </w:p>
    <w:p w14:paraId="273F74FA" w14:textId="77777777" w:rsidR="006C4840" w:rsidRPr="00D7549D" w:rsidRDefault="006C4840" w:rsidP="006C4840">
      <w:pPr>
        <w:jc w:val="both"/>
        <w:rPr>
          <w:rFonts w:ascii="Tahoma" w:hAnsi="Tahoma" w:cs="Tahoma"/>
          <w:b/>
          <w:bCs/>
          <w:sz w:val="21"/>
          <w:szCs w:val="21"/>
        </w:rPr>
      </w:pPr>
      <w:r w:rsidRPr="00D7549D">
        <w:rPr>
          <w:rFonts w:ascii="Tahoma" w:hAnsi="Tahoma" w:cs="Tahoma"/>
          <w:b/>
          <w:bCs/>
          <w:sz w:val="21"/>
          <w:szCs w:val="21"/>
        </w:rPr>
        <w:t>Sběr a svoz tříděného odpadu - separace</w:t>
      </w:r>
    </w:p>
    <w:p w14:paraId="48776C0B" w14:textId="77777777" w:rsidR="006C4840" w:rsidRPr="00D7549D" w:rsidRDefault="006C4840" w:rsidP="006C4840">
      <w:pPr>
        <w:jc w:val="both"/>
        <w:rPr>
          <w:rFonts w:ascii="Tahoma" w:hAnsi="Tahoma" w:cs="Tahoma"/>
          <w:b/>
          <w:bCs/>
          <w:sz w:val="21"/>
          <w:szCs w:val="21"/>
        </w:rPr>
      </w:pPr>
    </w:p>
    <w:p w14:paraId="2878B7F1" w14:textId="77777777" w:rsidR="006C4840" w:rsidRPr="00D7549D" w:rsidRDefault="006C4840" w:rsidP="006C4840">
      <w:pPr>
        <w:jc w:val="both"/>
        <w:rPr>
          <w:rFonts w:ascii="Tahoma" w:hAnsi="Tahoma" w:cs="Tahoma"/>
          <w:sz w:val="21"/>
          <w:szCs w:val="21"/>
        </w:rPr>
      </w:pPr>
      <w:r w:rsidRPr="00920901">
        <w:rPr>
          <w:rFonts w:ascii="Tahoma" w:hAnsi="Tahoma" w:cs="Tahoma"/>
          <w:bCs/>
          <w:sz w:val="21"/>
          <w:szCs w:val="21"/>
        </w:rPr>
        <w:t xml:space="preserve">Dle </w:t>
      </w:r>
      <w:proofErr w:type="spellStart"/>
      <w:r w:rsidRPr="00920901">
        <w:rPr>
          <w:rFonts w:ascii="Tahoma" w:hAnsi="Tahoma" w:cs="Tahoma"/>
          <w:bCs/>
          <w:sz w:val="21"/>
          <w:szCs w:val="21"/>
        </w:rPr>
        <w:t>ust</w:t>
      </w:r>
      <w:proofErr w:type="spellEnd"/>
      <w:r w:rsidRPr="00920901">
        <w:rPr>
          <w:rFonts w:ascii="Tahoma" w:hAnsi="Tahoma" w:cs="Tahoma"/>
          <w:bCs/>
          <w:sz w:val="21"/>
          <w:szCs w:val="21"/>
        </w:rPr>
        <w:t>. § 1</w:t>
      </w:r>
      <w:r w:rsidR="00920901">
        <w:rPr>
          <w:rFonts w:ascii="Tahoma" w:hAnsi="Tahoma" w:cs="Tahoma"/>
          <w:bCs/>
          <w:sz w:val="21"/>
          <w:szCs w:val="21"/>
        </w:rPr>
        <w:t>5</w:t>
      </w:r>
      <w:r w:rsidRPr="00920901">
        <w:rPr>
          <w:rFonts w:ascii="Tahoma" w:hAnsi="Tahoma" w:cs="Tahoma"/>
          <w:bCs/>
          <w:sz w:val="21"/>
          <w:szCs w:val="21"/>
        </w:rPr>
        <w:t xml:space="preserve"> odst. </w:t>
      </w:r>
      <w:r w:rsidR="00920901">
        <w:rPr>
          <w:rFonts w:ascii="Tahoma" w:hAnsi="Tahoma" w:cs="Tahoma"/>
          <w:bCs/>
          <w:sz w:val="21"/>
          <w:szCs w:val="21"/>
        </w:rPr>
        <w:t>2</w:t>
      </w:r>
      <w:r w:rsidRPr="00920901">
        <w:rPr>
          <w:rFonts w:ascii="Tahoma" w:hAnsi="Tahoma" w:cs="Tahoma"/>
          <w:bCs/>
          <w:sz w:val="21"/>
          <w:szCs w:val="21"/>
        </w:rPr>
        <w:t xml:space="preserve"> zákona o odpadech je</w:t>
      </w:r>
      <w:r w:rsidRPr="00D7549D">
        <w:rPr>
          <w:rFonts w:ascii="Tahoma" w:hAnsi="Tahoma" w:cs="Tahoma"/>
          <w:bCs/>
          <w:sz w:val="21"/>
          <w:szCs w:val="21"/>
        </w:rPr>
        <w:t xml:space="preserve"> občan povinen odpady třídit a ukládat na místa určená obcí, tj. do nádob na tříděný odpad. Ve </w:t>
      </w:r>
      <w:r>
        <w:rPr>
          <w:rFonts w:ascii="Tahoma" w:hAnsi="Tahoma" w:cs="Tahoma"/>
          <w:bCs/>
          <w:sz w:val="21"/>
          <w:szCs w:val="21"/>
        </w:rPr>
        <w:t xml:space="preserve">statutárním </w:t>
      </w:r>
      <w:r w:rsidRPr="00D7549D">
        <w:rPr>
          <w:rFonts w:ascii="Tahoma" w:hAnsi="Tahoma" w:cs="Tahoma"/>
          <w:bCs/>
          <w:sz w:val="21"/>
          <w:szCs w:val="21"/>
        </w:rPr>
        <w:t>městě Frýd</w:t>
      </w:r>
      <w:r>
        <w:rPr>
          <w:rFonts w:ascii="Tahoma" w:hAnsi="Tahoma" w:cs="Tahoma"/>
          <w:bCs/>
          <w:sz w:val="21"/>
          <w:szCs w:val="21"/>
        </w:rPr>
        <w:t>e</w:t>
      </w:r>
      <w:r w:rsidRPr="00D7549D">
        <w:rPr>
          <w:rFonts w:ascii="Tahoma" w:hAnsi="Tahoma" w:cs="Tahoma"/>
          <w:bCs/>
          <w:sz w:val="21"/>
          <w:szCs w:val="21"/>
        </w:rPr>
        <w:t>k-Míst</w:t>
      </w:r>
      <w:r>
        <w:rPr>
          <w:rFonts w:ascii="Tahoma" w:hAnsi="Tahoma" w:cs="Tahoma"/>
          <w:bCs/>
          <w:sz w:val="21"/>
          <w:szCs w:val="21"/>
        </w:rPr>
        <w:t>e</w:t>
      </w:r>
      <w:r w:rsidRPr="00D7549D">
        <w:rPr>
          <w:rFonts w:ascii="Tahoma" w:hAnsi="Tahoma" w:cs="Tahoma"/>
          <w:bCs/>
          <w:sz w:val="21"/>
          <w:szCs w:val="21"/>
        </w:rPr>
        <w:t>k je realizován svoz papíru a nápojových kartonů, plastů</w:t>
      </w:r>
      <w:r w:rsidR="0047399F">
        <w:rPr>
          <w:rFonts w:ascii="Tahoma" w:hAnsi="Tahoma" w:cs="Tahoma"/>
          <w:bCs/>
          <w:sz w:val="21"/>
          <w:szCs w:val="21"/>
        </w:rPr>
        <w:t xml:space="preserve"> a plechovek od nápojů</w:t>
      </w:r>
      <w:r w:rsidRPr="00D7549D">
        <w:rPr>
          <w:rFonts w:ascii="Tahoma" w:hAnsi="Tahoma" w:cs="Tahoma"/>
          <w:bCs/>
          <w:sz w:val="21"/>
          <w:szCs w:val="21"/>
        </w:rPr>
        <w:t>, skla</w:t>
      </w:r>
      <w:r w:rsidR="008074C1">
        <w:rPr>
          <w:rFonts w:ascii="Tahoma" w:hAnsi="Tahoma" w:cs="Tahoma"/>
          <w:bCs/>
          <w:sz w:val="21"/>
          <w:szCs w:val="21"/>
        </w:rPr>
        <w:t xml:space="preserve">, </w:t>
      </w:r>
      <w:r w:rsidRPr="00D7549D">
        <w:rPr>
          <w:rFonts w:ascii="Tahoma" w:hAnsi="Tahoma" w:cs="Tahoma"/>
          <w:bCs/>
          <w:sz w:val="21"/>
          <w:szCs w:val="21"/>
        </w:rPr>
        <w:t>biologicky rozložitelných odpadů</w:t>
      </w:r>
      <w:r w:rsidR="008074C1">
        <w:rPr>
          <w:rFonts w:ascii="Tahoma" w:hAnsi="Tahoma" w:cs="Tahoma"/>
          <w:bCs/>
          <w:sz w:val="21"/>
          <w:szCs w:val="21"/>
        </w:rPr>
        <w:t xml:space="preserve"> a </w:t>
      </w:r>
      <w:r w:rsidR="007003CB">
        <w:rPr>
          <w:rFonts w:ascii="Tahoma" w:hAnsi="Tahoma" w:cs="Tahoma"/>
          <w:bCs/>
          <w:sz w:val="21"/>
          <w:szCs w:val="21"/>
        </w:rPr>
        <w:t>také svoz potravinářských olejů</w:t>
      </w:r>
      <w:r w:rsidRPr="00D7549D">
        <w:rPr>
          <w:rFonts w:ascii="Tahoma" w:hAnsi="Tahoma" w:cs="Tahoma"/>
          <w:bCs/>
          <w:sz w:val="21"/>
          <w:szCs w:val="21"/>
        </w:rPr>
        <w:t>.</w:t>
      </w:r>
    </w:p>
    <w:p w14:paraId="3A355924" w14:textId="77777777" w:rsidR="006C4840" w:rsidRPr="00D7549D" w:rsidRDefault="006C4840" w:rsidP="006C4840">
      <w:pPr>
        <w:jc w:val="both"/>
        <w:rPr>
          <w:rFonts w:ascii="Tahoma" w:hAnsi="Tahoma" w:cs="Tahoma"/>
          <w:b/>
          <w:sz w:val="21"/>
          <w:szCs w:val="21"/>
        </w:rPr>
      </w:pPr>
    </w:p>
    <w:p w14:paraId="2BA98396" w14:textId="77777777" w:rsidR="006C4840" w:rsidRPr="00D7549D" w:rsidRDefault="006C4840" w:rsidP="006C4840">
      <w:pPr>
        <w:jc w:val="both"/>
        <w:rPr>
          <w:rFonts w:ascii="Tahoma" w:hAnsi="Tahoma" w:cs="Tahoma"/>
          <w:b/>
          <w:sz w:val="21"/>
          <w:szCs w:val="21"/>
        </w:rPr>
      </w:pPr>
      <w:r w:rsidRPr="00D7549D">
        <w:rPr>
          <w:rFonts w:ascii="Tahoma" w:hAnsi="Tahoma" w:cs="Tahoma"/>
          <w:b/>
          <w:sz w:val="21"/>
          <w:szCs w:val="21"/>
        </w:rPr>
        <w:t>Využitelné složky komunálního odpadu (papír, sklo a plast)</w:t>
      </w:r>
    </w:p>
    <w:p w14:paraId="2129CC3D" w14:textId="77777777" w:rsidR="006C4840" w:rsidRPr="00D7549D" w:rsidRDefault="006C4840" w:rsidP="006C4840">
      <w:pPr>
        <w:jc w:val="both"/>
        <w:rPr>
          <w:rFonts w:ascii="Tahoma" w:hAnsi="Tahoma" w:cs="Tahoma"/>
          <w:sz w:val="21"/>
          <w:szCs w:val="21"/>
        </w:rPr>
      </w:pPr>
    </w:p>
    <w:p w14:paraId="5B8D0338" w14:textId="77777777" w:rsidR="006C4840" w:rsidRPr="000B36BA" w:rsidRDefault="006C4840" w:rsidP="006C4840">
      <w:pPr>
        <w:jc w:val="both"/>
        <w:rPr>
          <w:rFonts w:ascii="Tahoma" w:hAnsi="Tahoma" w:cs="Tahoma"/>
          <w:sz w:val="21"/>
          <w:szCs w:val="21"/>
        </w:rPr>
      </w:pPr>
      <w:r w:rsidRPr="00D7549D">
        <w:rPr>
          <w:rFonts w:ascii="Tahoma" w:hAnsi="Tahoma" w:cs="Tahoma"/>
          <w:sz w:val="21"/>
          <w:szCs w:val="21"/>
        </w:rPr>
        <w:t xml:space="preserve">V roce </w:t>
      </w:r>
      <w:r w:rsidR="006B78FF">
        <w:rPr>
          <w:rFonts w:ascii="Tahoma" w:hAnsi="Tahoma" w:cs="Tahoma"/>
          <w:sz w:val="21"/>
          <w:szCs w:val="21"/>
        </w:rPr>
        <w:t>202</w:t>
      </w:r>
      <w:r w:rsidR="007F389C">
        <w:rPr>
          <w:rFonts w:ascii="Tahoma" w:hAnsi="Tahoma" w:cs="Tahoma"/>
          <w:sz w:val="21"/>
          <w:szCs w:val="21"/>
        </w:rPr>
        <w:t>3</w:t>
      </w:r>
      <w:r w:rsidRPr="000B36BA">
        <w:rPr>
          <w:rFonts w:ascii="Tahoma" w:hAnsi="Tahoma" w:cs="Tahoma"/>
          <w:sz w:val="21"/>
          <w:szCs w:val="21"/>
        </w:rPr>
        <w:t xml:space="preserve"> vytřídili občané města a statutární město Frýdek-Místek celkem </w:t>
      </w:r>
      <w:r w:rsidRPr="000B36BA">
        <w:rPr>
          <w:rFonts w:ascii="Tahoma" w:hAnsi="Tahoma" w:cs="Tahoma"/>
          <w:b/>
          <w:sz w:val="21"/>
          <w:szCs w:val="21"/>
        </w:rPr>
        <w:t>2</w:t>
      </w:r>
      <w:r w:rsidR="00C24A94">
        <w:rPr>
          <w:rFonts w:ascii="Tahoma" w:hAnsi="Tahoma" w:cs="Tahoma"/>
          <w:b/>
          <w:sz w:val="21"/>
          <w:szCs w:val="21"/>
        </w:rPr>
        <w:t xml:space="preserve"> </w:t>
      </w:r>
      <w:r w:rsidR="007F389C">
        <w:rPr>
          <w:rFonts w:ascii="Tahoma" w:hAnsi="Tahoma" w:cs="Tahoma"/>
          <w:b/>
          <w:sz w:val="21"/>
          <w:szCs w:val="21"/>
        </w:rPr>
        <w:t>375</w:t>
      </w:r>
      <w:r w:rsidRPr="000B36BA">
        <w:rPr>
          <w:rFonts w:ascii="Tahoma" w:hAnsi="Tahoma" w:cs="Tahoma"/>
          <w:sz w:val="21"/>
          <w:szCs w:val="21"/>
        </w:rPr>
        <w:t xml:space="preserve"> </w:t>
      </w:r>
      <w:r w:rsidRPr="000B36BA">
        <w:rPr>
          <w:rFonts w:ascii="Tahoma" w:hAnsi="Tahoma" w:cs="Tahoma"/>
          <w:b/>
          <w:sz w:val="21"/>
          <w:szCs w:val="21"/>
        </w:rPr>
        <w:t xml:space="preserve">tun </w:t>
      </w:r>
      <w:r w:rsidRPr="000B36BA">
        <w:rPr>
          <w:rFonts w:ascii="Tahoma" w:hAnsi="Tahoma" w:cs="Tahoma"/>
          <w:sz w:val="21"/>
          <w:szCs w:val="21"/>
        </w:rPr>
        <w:t xml:space="preserve">papíru, skla a plastů z komunálního odpadu. Množství těchto </w:t>
      </w:r>
      <w:r w:rsidR="005003B0">
        <w:rPr>
          <w:rFonts w:ascii="Tahoma" w:hAnsi="Tahoma" w:cs="Tahoma"/>
          <w:sz w:val="21"/>
          <w:szCs w:val="21"/>
        </w:rPr>
        <w:t xml:space="preserve">vytříděných </w:t>
      </w:r>
      <w:r w:rsidRPr="000B36BA">
        <w:rPr>
          <w:rFonts w:ascii="Tahoma" w:hAnsi="Tahoma" w:cs="Tahoma"/>
          <w:sz w:val="21"/>
          <w:szCs w:val="21"/>
        </w:rPr>
        <w:t xml:space="preserve">odpadů </w:t>
      </w:r>
      <w:r w:rsidR="007F389C">
        <w:rPr>
          <w:rFonts w:ascii="Tahoma" w:hAnsi="Tahoma" w:cs="Tahoma"/>
          <w:sz w:val="21"/>
          <w:szCs w:val="21"/>
        </w:rPr>
        <w:t>kles</w:t>
      </w:r>
      <w:r w:rsidR="00B1297F">
        <w:rPr>
          <w:rFonts w:ascii="Tahoma" w:hAnsi="Tahoma" w:cs="Tahoma"/>
          <w:sz w:val="21"/>
          <w:szCs w:val="21"/>
        </w:rPr>
        <w:t>l</w:t>
      </w:r>
      <w:r w:rsidRPr="000B36BA">
        <w:rPr>
          <w:rFonts w:ascii="Tahoma" w:hAnsi="Tahoma" w:cs="Tahoma"/>
          <w:sz w:val="21"/>
          <w:szCs w:val="21"/>
        </w:rPr>
        <w:t>o oproti roku 20</w:t>
      </w:r>
      <w:r w:rsidR="00313013">
        <w:rPr>
          <w:rFonts w:ascii="Tahoma" w:hAnsi="Tahoma" w:cs="Tahoma"/>
          <w:sz w:val="21"/>
          <w:szCs w:val="21"/>
        </w:rPr>
        <w:t>2</w:t>
      </w:r>
      <w:r w:rsidR="007F389C">
        <w:rPr>
          <w:rFonts w:ascii="Tahoma" w:hAnsi="Tahoma" w:cs="Tahoma"/>
          <w:sz w:val="21"/>
          <w:szCs w:val="21"/>
        </w:rPr>
        <w:t>2</w:t>
      </w:r>
      <w:r w:rsidR="006B78FF">
        <w:rPr>
          <w:rFonts w:ascii="Tahoma" w:hAnsi="Tahoma" w:cs="Tahoma"/>
          <w:sz w:val="21"/>
          <w:szCs w:val="21"/>
        </w:rPr>
        <w:t xml:space="preserve"> o </w:t>
      </w:r>
      <w:r w:rsidR="007F389C">
        <w:rPr>
          <w:rFonts w:ascii="Tahoma" w:hAnsi="Tahoma" w:cs="Tahoma"/>
          <w:sz w:val="21"/>
          <w:szCs w:val="21"/>
        </w:rPr>
        <w:t>307</w:t>
      </w:r>
      <w:r w:rsidRPr="000B36BA">
        <w:rPr>
          <w:rFonts w:ascii="Tahoma" w:hAnsi="Tahoma" w:cs="Tahoma"/>
          <w:sz w:val="21"/>
          <w:szCs w:val="21"/>
        </w:rPr>
        <w:t xml:space="preserve"> tun. Vývoj množství </w:t>
      </w:r>
      <w:r w:rsidR="005003B0">
        <w:rPr>
          <w:rFonts w:ascii="Tahoma" w:hAnsi="Tahoma" w:cs="Tahoma"/>
          <w:sz w:val="21"/>
          <w:szCs w:val="21"/>
        </w:rPr>
        <w:t xml:space="preserve">vytříděných </w:t>
      </w:r>
      <w:r w:rsidR="006B78FF">
        <w:rPr>
          <w:rFonts w:ascii="Tahoma" w:hAnsi="Tahoma" w:cs="Tahoma"/>
          <w:sz w:val="21"/>
          <w:szCs w:val="21"/>
        </w:rPr>
        <w:t>odpadů v letech 2003–202</w:t>
      </w:r>
      <w:r w:rsidR="007F389C">
        <w:rPr>
          <w:rFonts w:ascii="Tahoma" w:hAnsi="Tahoma" w:cs="Tahoma"/>
          <w:sz w:val="21"/>
          <w:szCs w:val="21"/>
        </w:rPr>
        <w:t>3</w:t>
      </w:r>
      <w:r w:rsidR="00C24A94">
        <w:rPr>
          <w:rFonts w:ascii="Tahoma" w:hAnsi="Tahoma" w:cs="Tahoma"/>
          <w:sz w:val="21"/>
          <w:szCs w:val="21"/>
        </w:rPr>
        <w:t xml:space="preserve"> </w:t>
      </w:r>
      <w:r w:rsidRPr="000B36BA">
        <w:rPr>
          <w:rFonts w:ascii="Tahoma" w:hAnsi="Tahoma" w:cs="Tahoma"/>
          <w:sz w:val="21"/>
          <w:szCs w:val="21"/>
        </w:rPr>
        <w:t>znázorňuje graf č. 3.</w:t>
      </w:r>
    </w:p>
    <w:p w14:paraId="4BC16AFD" w14:textId="77777777" w:rsidR="006C4840" w:rsidRPr="000B36BA" w:rsidRDefault="006C4840" w:rsidP="006C4840">
      <w:pPr>
        <w:jc w:val="both"/>
        <w:rPr>
          <w:rFonts w:ascii="Tahoma" w:hAnsi="Tahoma" w:cs="Tahoma"/>
          <w:sz w:val="21"/>
          <w:szCs w:val="21"/>
        </w:rPr>
      </w:pPr>
    </w:p>
    <w:p w14:paraId="5632381C" w14:textId="77777777" w:rsidR="007C4CB4" w:rsidRDefault="006C4840" w:rsidP="007C4CB4">
      <w:pPr>
        <w:pStyle w:val="Titulek"/>
        <w:keepNext/>
        <w:jc w:val="both"/>
        <w:rPr>
          <w:rFonts w:ascii="Tahoma" w:hAnsi="Tahoma" w:cs="Tahoma"/>
          <w:color w:val="auto"/>
          <w:sz w:val="21"/>
          <w:szCs w:val="21"/>
        </w:rPr>
      </w:pPr>
      <w:r w:rsidRPr="000B36BA">
        <w:rPr>
          <w:rFonts w:ascii="Tahoma" w:hAnsi="Tahoma" w:cs="Tahoma"/>
          <w:color w:val="auto"/>
          <w:sz w:val="21"/>
          <w:szCs w:val="21"/>
        </w:rPr>
        <w:lastRenderedPageBreak/>
        <w:t xml:space="preserve">Graf č. 3: Vývoj celkového množství </w:t>
      </w:r>
      <w:r w:rsidR="005003B0">
        <w:rPr>
          <w:rFonts w:ascii="Tahoma" w:hAnsi="Tahoma" w:cs="Tahoma"/>
          <w:color w:val="auto"/>
          <w:sz w:val="21"/>
          <w:szCs w:val="21"/>
        </w:rPr>
        <w:t>vytříděného</w:t>
      </w:r>
      <w:r w:rsidR="005003B0" w:rsidRPr="000B36BA">
        <w:rPr>
          <w:rFonts w:ascii="Tahoma" w:hAnsi="Tahoma" w:cs="Tahoma"/>
          <w:color w:val="auto"/>
          <w:sz w:val="21"/>
          <w:szCs w:val="21"/>
        </w:rPr>
        <w:t xml:space="preserve"> </w:t>
      </w:r>
      <w:r w:rsidRPr="000B36BA">
        <w:rPr>
          <w:rFonts w:ascii="Tahoma" w:hAnsi="Tahoma" w:cs="Tahoma"/>
          <w:color w:val="auto"/>
          <w:sz w:val="21"/>
          <w:szCs w:val="21"/>
        </w:rPr>
        <w:t>odpadu (papíru, skla a plastů) v tunách v letech 2003</w:t>
      </w:r>
      <w:r w:rsidRPr="000B36BA">
        <w:rPr>
          <w:rFonts w:ascii="Tahoma" w:hAnsi="Tahoma" w:cs="Tahoma"/>
          <w:color w:val="auto"/>
          <w:sz w:val="21"/>
          <w:szCs w:val="21"/>
        </w:rPr>
        <w:noBreakHyphen/>
        <w:t>20</w:t>
      </w:r>
      <w:r w:rsidR="006B78FF">
        <w:rPr>
          <w:rFonts w:ascii="Tahoma" w:hAnsi="Tahoma" w:cs="Tahoma"/>
          <w:color w:val="auto"/>
          <w:sz w:val="21"/>
          <w:szCs w:val="21"/>
        </w:rPr>
        <w:t>2</w:t>
      </w:r>
      <w:r w:rsidR="00CE01A3">
        <w:rPr>
          <w:rFonts w:ascii="Tahoma" w:hAnsi="Tahoma" w:cs="Tahoma"/>
          <w:color w:val="auto"/>
          <w:sz w:val="21"/>
          <w:szCs w:val="21"/>
        </w:rPr>
        <w:t>3</w:t>
      </w:r>
    </w:p>
    <w:p w14:paraId="5F9F7FF5" w14:textId="77777777" w:rsidR="000B36BA" w:rsidRDefault="00CE01A3" w:rsidP="007C4CB4">
      <w:pPr>
        <w:pStyle w:val="Titulek"/>
        <w:keepNext/>
        <w:jc w:val="both"/>
        <w:rPr>
          <w:rFonts w:ascii="Tahoma" w:hAnsi="Tahoma" w:cs="Tahoma"/>
          <w:sz w:val="21"/>
          <w:szCs w:val="21"/>
        </w:rPr>
      </w:pPr>
      <w:r>
        <w:rPr>
          <w:noProof/>
        </w:rPr>
        <w:drawing>
          <wp:inline distT="0" distB="0" distL="0" distR="0" wp14:anchorId="1D27207C" wp14:editId="0115E887">
            <wp:extent cx="6276975" cy="3879215"/>
            <wp:effectExtent l="0" t="0" r="0" b="6985"/>
            <wp:docPr id="1630887194" name="Graf 1">
              <a:extLst xmlns:a="http://schemas.openxmlformats.org/drawingml/2006/main">
                <a:ext uri="{FF2B5EF4-FFF2-40B4-BE49-F238E27FC236}">
                  <a16:creationId xmlns:a16="http://schemas.microsoft.com/office/drawing/2014/main" id="{00000000-0008-0000-04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4FCC887" w14:textId="77777777" w:rsidR="00375EB9" w:rsidRDefault="00375EB9" w:rsidP="006C4840">
      <w:pPr>
        <w:jc w:val="both"/>
        <w:rPr>
          <w:rFonts w:ascii="Tahoma" w:hAnsi="Tahoma" w:cs="Tahoma"/>
          <w:sz w:val="21"/>
          <w:szCs w:val="21"/>
        </w:rPr>
      </w:pPr>
    </w:p>
    <w:p w14:paraId="70A59372" w14:textId="77777777" w:rsidR="003F04D3" w:rsidRDefault="000B36BA" w:rsidP="006C4840">
      <w:pPr>
        <w:jc w:val="both"/>
        <w:rPr>
          <w:rFonts w:ascii="Tahoma" w:hAnsi="Tahoma" w:cs="Tahoma"/>
          <w:sz w:val="21"/>
          <w:szCs w:val="21"/>
        </w:rPr>
      </w:pPr>
      <w:r>
        <w:rPr>
          <w:rFonts w:ascii="Tahoma" w:hAnsi="Tahoma" w:cs="Tahoma"/>
          <w:sz w:val="21"/>
          <w:szCs w:val="21"/>
        </w:rPr>
        <w:t>V</w:t>
      </w:r>
      <w:r w:rsidR="006B78FF">
        <w:rPr>
          <w:rFonts w:ascii="Tahoma" w:hAnsi="Tahoma" w:cs="Tahoma"/>
          <w:sz w:val="21"/>
          <w:szCs w:val="21"/>
        </w:rPr>
        <w:t> roce 202</w:t>
      </w:r>
      <w:r w:rsidR="00330926">
        <w:rPr>
          <w:rFonts w:ascii="Tahoma" w:hAnsi="Tahoma" w:cs="Tahoma"/>
          <w:sz w:val="21"/>
          <w:szCs w:val="21"/>
        </w:rPr>
        <w:t>3</w:t>
      </w:r>
      <w:r w:rsidR="006C4840" w:rsidRPr="00D7549D">
        <w:rPr>
          <w:rFonts w:ascii="Tahoma" w:hAnsi="Tahoma" w:cs="Tahoma"/>
          <w:sz w:val="21"/>
          <w:szCs w:val="21"/>
        </w:rPr>
        <w:t xml:space="preserve"> vytřídili občané města a statutární město Frýdek-Místek </w:t>
      </w:r>
      <w:r w:rsidR="00330926">
        <w:rPr>
          <w:rFonts w:ascii="Tahoma" w:hAnsi="Tahoma" w:cs="Tahoma"/>
          <w:b/>
          <w:sz w:val="21"/>
          <w:szCs w:val="21"/>
        </w:rPr>
        <w:t>95</w:t>
      </w:r>
      <w:r w:rsidR="0079638F">
        <w:rPr>
          <w:rFonts w:ascii="Tahoma" w:hAnsi="Tahoma" w:cs="Tahoma"/>
          <w:b/>
          <w:sz w:val="21"/>
          <w:szCs w:val="21"/>
        </w:rPr>
        <w:t>2</w:t>
      </w:r>
      <w:r w:rsidR="006C4840" w:rsidRPr="00D7549D">
        <w:rPr>
          <w:rFonts w:ascii="Tahoma" w:hAnsi="Tahoma" w:cs="Tahoma"/>
          <w:b/>
          <w:sz w:val="21"/>
          <w:szCs w:val="21"/>
        </w:rPr>
        <w:t> tun papíru</w:t>
      </w:r>
      <w:r w:rsidR="006C4840" w:rsidRPr="00D7549D">
        <w:rPr>
          <w:rFonts w:ascii="Tahoma" w:hAnsi="Tahoma" w:cs="Tahoma"/>
          <w:sz w:val="21"/>
          <w:szCs w:val="21"/>
        </w:rPr>
        <w:t>, což je o</w:t>
      </w:r>
      <w:r w:rsidR="006C4840">
        <w:rPr>
          <w:rFonts w:ascii="Tahoma" w:hAnsi="Tahoma" w:cs="Tahoma"/>
          <w:sz w:val="21"/>
          <w:szCs w:val="21"/>
        </w:rPr>
        <w:t> </w:t>
      </w:r>
      <w:r w:rsidR="00330926">
        <w:rPr>
          <w:rFonts w:ascii="Tahoma" w:hAnsi="Tahoma" w:cs="Tahoma"/>
          <w:sz w:val="21"/>
          <w:szCs w:val="21"/>
        </w:rPr>
        <w:t>340</w:t>
      </w:r>
      <w:r w:rsidR="006C4840" w:rsidRPr="00D7549D">
        <w:rPr>
          <w:rFonts w:ascii="Tahoma" w:hAnsi="Tahoma" w:cs="Tahoma"/>
          <w:sz w:val="21"/>
          <w:szCs w:val="21"/>
        </w:rPr>
        <w:t xml:space="preserve"> tun </w:t>
      </w:r>
      <w:r w:rsidR="00330926">
        <w:rPr>
          <w:rFonts w:ascii="Tahoma" w:hAnsi="Tahoma" w:cs="Tahoma"/>
          <w:sz w:val="21"/>
          <w:szCs w:val="21"/>
        </w:rPr>
        <w:t>méně</w:t>
      </w:r>
      <w:r w:rsidR="006C4840" w:rsidRPr="00D7549D">
        <w:rPr>
          <w:rFonts w:ascii="Tahoma" w:hAnsi="Tahoma" w:cs="Tahoma"/>
          <w:sz w:val="21"/>
          <w:szCs w:val="21"/>
        </w:rPr>
        <w:t xml:space="preserve"> než v roce 20</w:t>
      </w:r>
      <w:r w:rsidR="00F172D3">
        <w:rPr>
          <w:rFonts w:ascii="Tahoma" w:hAnsi="Tahoma" w:cs="Tahoma"/>
          <w:sz w:val="21"/>
          <w:szCs w:val="21"/>
        </w:rPr>
        <w:t>2</w:t>
      </w:r>
      <w:r w:rsidR="00330926">
        <w:rPr>
          <w:rFonts w:ascii="Tahoma" w:hAnsi="Tahoma" w:cs="Tahoma"/>
          <w:sz w:val="21"/>
          <w:szCs w:val="21"/>
        </w:rPr>
        <w:t>2</w:t>
      </w:r>
      <w:r w:rsidR="006C4840" w:rsidRPr="00D7549D">
        <w:rPr>
          <w:rFonts w:ascii="Tahoma" w:hAnsi="Tahoma" w:cs="Tahoma"/>
          <w:sz w:val="21"/>
          <w:szCs w:val="21"/>
        </w:rPr>
        <w:t xml:space="preserve">, dále pak </w:t>
      </w:r>
      <w:r w:rsidR="004950B2">
        <w:rPr>
          <w:rFonts w:ascii="Tahoma" w:hAnsi="Tahoma" w:cs="Tahoma"/>
          <w:b/>
          <w:sz w:val="21"/>
          <w:szCs w:val="21"/>
        </w:rPr>
        <w:t>7</w:t>
      </w:r>
      <w:r w:rsidR="00330926">
        <w:rPr>
          <w:rFonts w:ascii="Tahoma" w:hAnsi="Tahoma" w:cs="Tahoma"/>
          <w:b/>
          <w:sz w:val="21"/>
          <w:szCs w:val="21"/>
        </w:rPr>
        <w:t>0</w:t>
      </w:r>
      <w:r w:rsidR="00F172D3">
        <w:rPr>
          <w:rFonts w:ascii="Tahoma" w:hAnsi="Tahoma" w:cs="Tahoma"/>
          <w:b/>
          <w:sz w:val="21"/>
          <w:szCs w:val="21"/>
        </w:rPr>
        <w:t>4</w:t>
      </w:r>
      <w:r w:rsidR="006C4840" w:rsidRPr="00D7549D">
        <w:rPr>
          <w:rFonts w:ascii="Tahoma" w:hAnsi="Tahoma" w:cs="Tahoma"/>
          <w:b/>
          <w:sz w:val="21"/>
          <w:szCs w:val="21"/>
        </w:rPr>
        <w:t xml:space="preserve"> tun skla</w:t>
      </w:r>
      <w:r w:rsidR="004950B2">
        <w:rPr>
          <w:rFonts w:ascii="Tahoma" w:hAnsi="Tahoma" w:cs="Tahoma"/>
          <w:sz w:val="21"/>
          <w:szCs w:val="21"/>
        </w:rPr>
        <w:t xml:space="preserve">, což je o </w:t>
      </w:r>
      <w:r w:rsidR="00330926">
        <w:rPr>
          <w:rFonts w:ascii="Tahoma" w:hAnsi="Tahoma" w:cs="Tahoma"/>
          <w:sz w:val="21"/>
          <w:szCs w:val="21"/>
        </w:rPr>
        <w:t>29</w:t>
      </w:r>
      <w:r w:rsidR="006C4840" w:rsidRPr="00D7549D">
        <w:rPr>
          <w:rFonts w:ascii="Tahoma" w:hAnsi="Tahoma" w:cs="Tahoma"/>
          <w:sz w:val="21"/>
          <w:szCs w:val="21"/>
        </w:rPr>
        <w:t xml:space="preserve"> tun </w:t>
      </w:r>
      <w:r w:rsidR="003F04D3">
        <w:rPr>
          <w:rFonts w:ascii="Tahoma" w:hAnsi="Tahoma" w:cs="Tahoma"/>
          <w:sz w:val="21"/>
          <w:szCs w:val="21"/>
        </w:rPr>
        <w:t>více</w:t>
      </w:r>
      <w:r w:rsidR="006C4840" w:rsidRPr="00D7549D">
        <w:rPr>
          <w:rFonts w:ascii="Tahoma" w:hAnsi="Tahoma" w:cs="Tahoma"/>
          <w:sz w:val="21"/>
          <w:szCs w:val="21"/>
        </w:rPr>
        <w:t xml:space="preserve"> než v roce 20</w:t>
      </w:r>
      <w:r w:rsidR="00F172D3">
        <w:rPr>
          <w:rFonts w:ascii="Tahoma" w:hAnsi="Tahoma" w:cs="Tahoma"/>
          <w:sz w:val="21"/>
          <w:szCs w:val="21"/>
        </w:rPr>
        <w:t>2</w:t>
      </w:r>
      <w:r w:rsidR="00330926">
        <w:rPr>
          <w:rFonts w:ascii="Tahoma" w:hAnsi="Tahoma" w:cs="Tahoma"/>
          <w:sz w:val="21"/>
          <w:szCs w:val="21"/>
        </w:rPr>
        <w:t>2</w:t>
      </w:r>
      <w:r w:rsidR="006C4840" w:rsidRPr="00D7549D">
        <w:rPr>
          <w:rFonts w:ascii="Tahoma" w:hAnsi="Tahoma" w:cs="Tahoma"/>
          <w:sz w:val="21"/>
          <w:szCs w:val="21"/>
        </w:rPr>
        <w:t xml:space="preserve">, a celkem </w:t>
      </w:r>
      <w:r w:rsidR="004950B2">
        <w:rPr>
          <w:rFonts w:ascii="Tahoma" w:hAnsi="Tahoma" w:cs="Tahoma"/>
          <w:b/>
          <w:sz w:val="21"/>
          <w:szCs w:val="21"/>
        </w:rPr>
        <w:t>7</w:t>
      </w:r>
      <w:r w:rsidR="00330926">
        <w:rPr>
          <w:rFonts w:ascii="Tahoma" w:hAnsi="Tahoma" w:cs="Tahoma"/>
          <w:b/>
          <w:sz w:val="21"/>
          <w:szCs w:val="21"/>
        </w:rPr>
        <w:t>20</w:t>
      </w:r>
      <w:r w:rsidR="006C4840" w:rsidRPr="00D7549D">
        <w:rPr>
          <w:rFonts w:ascii="Tahoma" w:hAnsi="Tahoma" w:cs="Tahoma"/>
          <w:b/>
          <w:sz w:val="21"/>
          <w:szCs w:val="21"/>
        </w:rPr>
        <w:t xml:space="preserve"> tun plastů</w:t>
      </w:r>
      <w:r w:rsidR="006C4840" w:rsidRPr="00D7549D">
        <w:rPr>
          <w:rFonts w:ascii="Tahoma" w:hAnsi="Tahoma" w:cs="Tahoma"/>
          <w:sz w:val="21"/>
          <w:szCs w:val="21"/>
        </w:rPr>
        <w:t xml:space="preserve">, což je o </w:t>
      </w:r>
      <w:r w:rsidR="00330926">
        <w:rPr>
          <w:rFonts w:ascii="Tahoma" w:hAnsi="Tahoma" w:cs="Tahoma"/>
          <w:sz w:val="21"/>
          <w:szCs w:val="21"/>
        </w:rPr>
        <w:t>5</w:t>
      </w:r>
      <w:r w:rsidR="006C4840" w:rsidRPr="00D7549D">
        <w:rPr>
          <w:rFonts w:ascii="Tahoma" w:hAnsi="Tahoma" w:cs="Tahoma"/>
          <w:sz w:val="21"/>
          <w:szCs w:val="21"/>
        </w:rPr>
        <w:t xml:space="preserve"> tun </w:t>
      </w:r>
      <w:r w:rsidR="00330926">
        <w:rPr>
          <w:rFonts w:ascii="Tahoma" w:hAnsi="Tahoma" w:cs="Tahoma"/>
          <w:sz w:val="21"/>
          <w:szCs w:val="21"/>
        </w:rPr>
        <w:t>více</w:t>
      </w:r>
      <w:r w:rsidR="006C4840" w:rsidRPr="00D7549D">
        <w:rPr>
          <w:rFonts w:ascii="Tahoma" w:hAnsi="Tahoma" w:cs="Tahoma"/>
          <w:sz w:val="21"/>
          <w:szCs w:val="21"/>
        </w:rPr>
        <w:t xml:space="preserve"> než v roce 20</w:t>
      </w:r>
      <w:r w:rsidR="00F172D3">
        <w:rPr>
          <w:rFonts w:ascii="Tahoma" w:hAnsi="Tahoma" w:cs="Tahoma"/>
          <w:sz w:val="21"/>
          <w:szCs w:val="21"/>
        </w:rPr>
        <w:t>2</w:t>
      </w:r>
      <w:r w:rsidR="00330926">
        <w:rPr>
          <w:rFonts w:ascii="Tahoma" w:hAnsi="Tahoma" w:cs="Tahoma"/>
          <w:sz w:val="21"/>
          <w:szCs w:val="21"/>
        </w:rPr>
        <w:t>2</w:t>
      </w:r>
      <w:r w:rsidR="006C4840" w:rsidRPr="00D7549D">
        <w:rPr>
          <w:rFonts w:ascii="Tahoma" w:hAnsi="Tahoma" w:cs="Tahoma"/>
          <w:sz w:val="21"/>
          <w:szCs w:val="21"/>
        </w:rPr>
        <w:t xml:space="preserve">. </w:t>
      </w:r>
    </w:p>
    <w:p w14:paraId="1B16634B" w14:textId="77777777" w:rsidR="003F04D3" w:rsidRDefault="003F04D3" w:rsidP="006C4840">
      <w:pPr>
        <w:jc w:val="both"/>
        <w:rPr>
          <w:rFonts w:ascii="Tahoma" w:hAnsi="Tahoma" w:cs="Tahoma"/>
          <w:sz w:val="21"/>
          <w:szCs w:val="21"/>
        </w:rPr>
      </w:pPr>
    </w:p>
    <w:p w14:paraId="44EBF6DB" w14:textId="77777777" w:rsidR="006C4840" w:rsidRPr="006F1578" w:rsidRDefault="006C4840" w:rsidP="006C4840">
      <w:pPr>
        <w:jc w:val="both"/>
        <w:rPr>
          <w:rFonts w:ascii="Tahoma" w:hAnsi="Tahoma" w:cs="Tahoma"/>
          <w:b/>
          <w:sz w:val="21"/>
          <w:szCs w:val="21"/>
        </w:rPr>
      </w:pPr>
      <w:r w:rsidRPr="00D7549D">
        <w:rPr>
          <w:rFonts w:ascii="Tahoma" w:hAnsi="Tahoma" w:cs="Tahoma"/>
          <w:sz w:val="21"/>
          <w:szCs w:val="21"/>
        </w:rPr>
        <w:t>Kromě toho</w:t>
      </w:r>
      <w:r w:rsidR="000A2634">
        <w:rPr>
          <w:rFonts w:ascii="Tahoma" w:hAnsi="Tahoma" w:cs="Tahoma"/>
          <w:sz w:val="21"/>
          <w:szCs w:val="21"/>
        </w:rPr>
        <w:t xml:space="preserve"> občané Frýdku</w:t>
      </w:r>
      <w:r w:rsidR="000A2634">
        <w:rPr>
          <w:rFonts w:ascii="Tahoma" w:hAnsi="Tahoma" w:cs="Tahoma"/>
          <w:sz w:val="21"/>
          <w:szCs w:val="21"/>
        </w:rPr>
        <w:noBreakHyphen/>
        <w:t>Místku v roce 202</w:t>
      </w:r>
      <w:r w:rsidR="00902E28">
        <w:rPr>
          <w:rFonts w:ascii="Tahoma" w:hAnsi="Tahoma" w:cs="Tahoma"/>
          <w:sz w:val="21"/>
          <w:szCs w:val="21"/>
        </w:rPr>
        <w:t>3</w:t>
      </w:r>
      <w:r w:rsidRPr="00D7549D">
        <w:rPr>
          <w:rFonts w:ascii="Tahoma" w:hAnsi="Tahoma" w:cs="Tahoma"/>
          <w:sz w:val="21"/>
          <w:szCs w:val="21"/>
        </w:rPr>
        <w:t xml:space="preserve"> vytřídili a odevzdali celkem </w:t>
      </w:r>
      <w:r w:rsidR="00902E28">
        <w:rPr>
          <w:rFonts w:ascii="Tahoma" w:hAnsi="Tahoma" w:cs="Tahoma"/>
          <w:b/>
          <w:sz w:val="21"/>
          <w:szCs w:val="21"/>
        </w:rPr>
        <w:t>74</w:t>
      </w:r>
      <w:r w:rsidRPr="00D7549D">
        <w:rPr>
          <w:rFonts w:ascii="Tahoma" w:hAnsi="Tahoma" w:cs="Tahoma"/>
          <w:b/>
          <w:sz w:val="21"/>
          <w:szCs w:val="21"/>
        </w:rPr>
        <w:t xml:space="preserve"> tun kovů </w:t>
      </w:r>
      <w:r w:rsidRPr="00D7549D">
        <w:rPr>
          <w:rFonts w:ascii="Tahoma" w:hAnsi="Tahoma" w:cs="Tahoma"/>
          <w:sz w:val="21"/>
          <w:szCs w:val="21"/>
        </w:rPr>
        <w:t xml:space="preserve">a </w:t>
      </w:r>
      <w:r w:rsidR="00902E28">
        <w:rPr>
          <w:rFonts w:ascii="Tahoma" w:hAnsi="Tahoma" w:cs="Tahoma"/>
          <w:b/>
          <w:sz w:val="21"/>
          <w:szCs w:val="21"/>
        </w:rPr>
        <w:t>5 073</w:t>
      </w:r>
      <w:r w:rsidRPr="00D7549D">
        <w:rPr>
          <w:rFonts w:ascii="Tahoma" w:hAnsi="Tahoma" w:cs="Tahoma"/>
          <w:b/>
          <w:sz w:val="21"/>
          <w:szCs w:val="21"/>
        </w:rPr>
        <w:t xml:space="preserve"> tun bioodpadů</w:t>
      </w:r>
      <w:r w:rsidRPr="006F1578">
        <w:rPr>
          <w:rFonts w:ascii="Tahoma" w:hAnsi="Tahoma" w:cs="Tahoma"/>
          <w:sz w:val="21"/>
          <w:szCs w:val="21"/>
        </w:rPr>
        <w:t>. Vývoj množství vytříděného papíru, skla a plastů v letech</w:t>
      </w:r>
      <w:r w:rsidR="000A2634">
        <w:rPr>
          <w:rFonts w:ascii="Tahoma" w:hAnsi="Tahoma" w:cs="Tahoma"/>
          <w:sz w:val="21"/>
          <w:szCs w:val="21"/>
        </w:rPr>
        <w:t xml:space="preserve"> 2003–202</w:t>
      </w:r>
      <w:r w:rsidR="00902E28">
        <w:rPr>
          <w:rFonts w:ascii="Tahoma" w:hAnsi="Tahoma" w:cs="Tahoma"/>
          <w:sz w:val="21"/>
          <w:szCs w:val="21"/>
        </w:rPr>
        <w:t>3</w:t>
      </w:r>
      <w:r w:rsidRPr="006F1578">
        <w:rPr>
          <w:rFonts w:ascii="Tahoma" w:hAnsi="Tahoma" w:cs="Tahoma"/>
          <w:sz w:val="21"/>
          <w:szCs w:val="21"/>
        </w:rPr>
        <w:t xml:space="preserve"> znázorňují </w:t>
      </w:r>
      <w:r w:rsidRPr="003F04D3">
        <w:rPr>
          <w:rFonts w:ascii="Tahoma" w:hAnsi="Tahoma" w:cs="Tahoma"/>
          <w:sz w:val="21"/>
          <w:szCs w:val="21"/>
        </w:rPr>
        <w:t>grafy č. 4, 5</w:t>
      </w:r>
      <w:r w:rsidR="00FF6FA7" w:rsidRPr="003F04D3">
        <w:rPr>
          <w:rFonts w:ascii="Tahoma" w:hAnsi="Tahoma" w:cs="Tahoma"/>
          <w:sz w:val="21"/>
          <w:szCs w:val="21"/>
        </w:rPr>
        <w:t xml:space="preserve"> a</w:t>
      </w:r>
      <w:r w:rsidRPr="003F04D3">
        <w:rPr>
          <w:rFonts w:ascii="Tahoma" w:hAnsi="Tahoma" w:cs="Tahoma"/>
          <w:sz w:val="21"/>
          <w:szCs w:val="21"/>
        </w:rPr>
        <w:t xml:space="preserve"> 6.</w:t>
      </w:r>
    </w:p>
    <w:p w14:paraId="2B6A1BC2" w14:textId="77777777" w:rsidR="00B569BD" w:rsidRPr="00B424CD" w:rsidRDefault="006F1578" w:rsidP="00B424CD">
      <w:pPr>
        <w:pStyle w:val="Titulek"/>
        <w:keepNext/>
        <w:jc w:val="both"/>
        <w:rPr>
          <w:rFonts w:ascii="Tahoma" w:hAnsi="Tahoma" w:cs="Tahoma"/>
          <w:b w:val="0"/>
          <w:color w:val="auto"/>
          <w:sz w:val="21"/>
          <w:szCs w:val="21"/>
        </w:rPr>
      </w:pPr>
      <w:r>
        <w:rPr>
          <w:rFonts w:ascii="Tahoma" w:hAnsi="Tahoma" w:cs="Tahoma"/>
          <w:color w:val="auto"/>
          <w:sz w:val="21"/>
          <w:szCs w:val="21"/>
        </w:rPr>
        <w:br/>
      </w:r>
      <w:r w:rsidR="006C4840" w:rsidRPr="00B424CD">
        <w:rPr>
          <w:rFonts w:ascii="Tahoma" w:hAnsi="Tahoma" w:cs="Tahoma"/>
          <w:color w:val="auto"/>
          <w:sz w:val="21"/>
          <w:szCs w:val="21"/>
        </w:rPr>
        <w:t xml:space="preserve">Graf č. </w:t>
      </w:r>
      <w:r w:rsidR="00B424CD" w:rsidRPr="00B424CD">
        <w:rPr>
          <w:rFonts w:ascii="Tahoma" w:hAnsi="Tahoma" w:cs="Tahoma"/>
          <w:color w:val="auto"/>
          <w:sz w:val="21"/>
          <w:szCs w:val="21"/>
        </w:rPr>
        <w:t>4</w:t>
      </w:r>
      <w:r w:rsidR="006C4840" w:rsidRPr="00B424CD">
        <w:rPr>
          <w:rFonts w:ascii="Tahoma" w:hAnsi="Tahoma" w:cs="Tahoma"/>
          <w:color w:val="auto"/>
          <w:sz w:val="21"/>
          <w:szCs w:val="21"/>
        </w:rPr>
        <w:t xml:space="preserve">: Vývoj množství </w:t>
      </w:r>
      <w:r w:rsidR="005003B0" w:rsidRPr="00B424CD">
        <w:rPr>
          <w:rFonts w:ascii="Tahoma" w:hAnsi="Tahoma" w:cs="Tahoma"/>
          <w:color w:val="auto"/>
          <w:sz w:val="21"/>
          <w:szCs w:val="21"/>
        </w:rPr>
        <w:t xml:space="preserve">vytříděného </w:t>
      </w:r>
      <w:r w:rsidR="006C4840" w:rsidRPr="00B424CD">
        <w:rPr>
          <w:rFonts w:ascii="Tahoma" w:hAnsi="Tahoma" w:cs="Tahoma"/>
          <w:color w:val="auto"/>
          <w:sz w:val="21"/>
          <w:szCs w:val="21"/>
        </w:rPr>
        <w:t>p</w:t>
      </w:r>
      <w:r w:rsidR="005C6E4D" w:rsidRPr="00B424CD">
        <w:rPr>
          <w:rFonts w:ascii="Tahoma" w:hAnsi="Tahoma" w:cs="Tahoma"/>
          <w:color w:val="auto"/>
          <w:sz w:val="21"/>
          <w:szCs w:val="21"/>
        </w:rPr>
        <w:t>apíru v tunách v letech 2003–202</w:t>
      </w:r>
      <w:r w:rsidR="00A96CA0">
        <w:rPr>
          <w:rFonts w:ascii="Tahoma" w:hAnsi="Tahoma" w:cs="Tahoma"/>
          <w:color w:val="auto"/>
          <w:sz w:val="21"/>
          <w:szCs w:val="21"/>
        </w:rPr>
        <w:t>3</w:t>
      </w:r>
    </w:p>
    <w:p w14:paraId="20B7A00B" w14:textId="77777777" w:rsidR="00B569BD" w:rsidRDefault="00C27407" w:rsidP="00B569BD">
      <w:pPr>
        <w:rPr>
          <w:rFonts w:ascii="Tahoma" w:hAnsi="Tahoma" w:cs="Tahoma"/>
          <w:sz w:val="21"/>
          <w:szCs w:val="21"/>
        </w:rPr>
      </w:pPr>
      <w:r>
        <w:rPr>
          <w:noProof/>
        </w:rPr>
        <w:drawing>
          <wp:inline distT="0" distB="0" distL="0" distR="0" wp14:anchorId="40862E5A" wp14:editId="76AD0C15">
            <wp:extent cx="5991225" cy="3533775"/>
            <wp:effectExtent l="0" t="0" r="0" b="0"/>
            <wp:docPr id="1841635207" name="Graf 1">
              <a:extLst xmlns:a="http://schemas.openxmlformats.org/drawingml/2006/main">
                <a:ext uri="{FF2B5EF4-FFF2-40B4-BE49-F238E27FC236}">
                  <a16:creationId xmlns:a16="http://schemas.microsoft.com/office/drawing/2014/main" id="{00000000-0008-0000-04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F83932C" w14:textId="77777777" w:rsidR="00AD07FA" w:rsidRDefault="00AD07FA" w:rsidP="00B569BD">
      <w:pPr>
        <w:rPr>
          <w:rFonts w:ascii="Tahoma" w:hAnsi="Tahoma" w:cs="Tahoma"/>
          <w:sz w:val="21"/>
          <w:szCs w:val="21"/>
        </w:rPr>
      </w:pPr>
    </w:p>
    <w:p w14:paraId="35B1DC45" w14:textId="77777777" w:rsidR="00722D5A" w:rsidRDefault="006C4840" w:rsidP="00722D5A">
      <w:pPr>
        <w:pStyle w:val="Titulek"/>
        <w:keepNext/>
        <w:jc w:val="both"/>
        <w:rPr>
          <w:rFonts w:ascii="Tahoma" w:hAnsi="Tahoma" w:cs="Tahoma"/>
          <w:color w:val="auto"/>
          <w:sz w:val="21"/>
          <w:szCs w:val="21"/>
        </w:rPr>
      </w:pPr>
      <w:r w:rsidRPr="00D7549D">
        <w:rPr>
          <w:rFonts w:ascii="Tahoma" w:hAnsi="Tahoma" w:cs="Tahoma"/>
          <w:color w:val="auto"/>
          <w:sz w:val="21"/>
          <w:szCs w:val="21"/>
        </w:rPr>
        <w:lastRenderedPageBreak/>
        <w:t xml:space="preserve">Graf č. </w:t>
      </w:r>
      <w:r w:rsidR="00A96CA0">
        <w:rPr>
          <w:rFonts w:ascii="Tahoma" w:hAnsi="Tahoma" w:cs="Tahoma"/>
          <w:color w:val="auto"/>
          <w:sz w:val="21"/>
          <w:szCs w:val="21"/>
        </w:rPr>
        <w:t>5</w:t>
      </w:r>
      <w:r w:rsidRPr="00D7549D">
        <w:rPr>
          <w:rFonts w:ascii="Tahoma" w:hAnsi="Tahoma" w:cs="Tahoma"/>
          <w:color w:val="auto"/>
          <w:sz w:val="21"/>
          <w:szCs w:val="21"/>
        </w:rPr>
        <w:t xml:space="preserve">: Vývoj množství </w:t>
      </w:r>
      <w:r w:rsidR="005003B0">
        <w:rPr>
          <w:rFonts w:ascii="Tahoma" w:hAnsi="Tahoma" w:cs="Tahoma"/>
          <w:color w:val="auto"/>
          <w:sz w:val="21"/>
          <w:szCs w:val="21"/>
        </w:rPr>
        <w:t xml:space="preserve">vytříděného </w:t>
      </w:r>
      <w:r w:rsidR="005C6E4D">
        <w:rPr>
          <w:rFonts w:ascii="Tahoma" w:hAnsi="Tahoma" w:cs="Tahoma"/>
          <w:color w:val="auto"/>
          <w:sz w:val="21"/>
          <w:szCs w:val="21"/>
        </w:rPr>
        <w:t>skla v tunách v letech 2003–202</w:t>
      </w:r>
      <w:r w:rsidR="00A96CA0">
        <w:rPr>
          <w:rFonts w:ascii="Tahoma" w:hAnsi="Tahoma" w:cs="Tahoma"/>
          <w:color w:val="auto"/>
          <w:sz w:val="21"/>
          <w:szCs w:val="21"/>
        </w:rPr>
        <w:t>3</w:t>
      </w:r>
    </w:p>
    <w:p w14:paraId="035C2261" w14:textId="77777777" w:rsidR="00970158" w:rsidRDefault="00A96CA0" w:rsidP="00722D5A">
      <w:pPr>
        <w:pStyle w:val="Titulek"/>
        <w:keepNext/>
        <w:jc w:val="both"/>
        <w:rPr>
          <w:rFonts w:ascii="Tahoma" w:hAnsi="Tahoma" w:cs="Tahoma"/>
          <w:sz w:val="21"/>
          <w:szCs w:val="21"/>
          <w:highlight w:val="darkGreen"/>
        </w:rPr>
      </w:pPr>
      <w:r>
        <w:rPr>
          <w:noProof/>
        </w:rPr>
        <w:drawing>
          <wp:inline distT="0" distB="0" distL="0" distR="0" wp14:anchorId="67B581AE" wp14:editId="393CDA63">
            <wp:extent cx="6038850" cy="4419600"/>
            <wp:effectExtent l="0" t="0" r="0" b="0"/>
            <wp:docPr id="802491837" name="Graf 1">
              <a:extLst xmlns:a="http://schemas.openxmlformats.org/drawingml/2006/main">
                <a:ext uri="{FF2B5EF4-FFF2-40B4-BE49-F238E27FC236}">
                  <a16:creationId xmlns:a16="http://schemas.microsoft.com/office/drawing/2014/main" id="{00000000-0008-0000-04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09F9884" w14:textId="77777777" w:rsidR="00970158" w:rsidRPr="00D7549D" w:rsidRDefault="00970158" w:rsidP="006C4840">
      <w:pPr>
        <w:pStyle w:val="Nadpis4"/>
        <w:spacing w:before="0" w:beforeAutospacing="0" w:after="0" w:afterAutospacing="0"/>
        <w:rPr>
          <w:rFonts w:ascii="Tahoma" w:hAnsi="Tahoma" w:cs="Tahoma"/>
          <w:sz w:val="21"/>
          <w:szCs w:val="21"/>
          <w:highlight w:val="darkGreen"/>
        </w:rPr>
      </w:pPr>
    </w:p>
    <w:p w14:paraId="05AAB90D" w14:textId="77777777" w:rsidR="006C4840" w:rsidRPr="00D7549D" w:rsidRDefault="006C4840" w:rsidP="006C4840">
      <w:pPr>
        <w:pStyle w:val="Titulek"/>
        <w:keepNext/>
        <w:jc w:val="both"/>
        <w:rPr>
          <w:rFonts w:ascii="Tahoma" w:hAnsi="Tahoma" w:cs="Tahoma"/>
          <w:color w:val="auto"/>
          <w:sz w:val="21"/>
          <w:szCs w:val="21"/>
        </w:rPr>
      </w:pPr>
      <w:r w:rsidRPr="00D7549D">
        <w:rPr>
          <w:rFonts w:ascii="Tahoma" w:hAnsi="Tahoma" w:cs="Tahoma"/>
          <w:color w:val="auto"/>
          <w:sz w:val="21"/>
          <w:szCs w:val="21"/>
        </w:rPr>
        <w:t xml:space="preserve">Graf č. </w:t>
      </w:r>
      <w:r w:rsidR="000C1E24">
        <w:rPr>
          <w:rFonts w:ascii="Tahoma" w:hAnsi="Tahoma" w:cs="Tahoma"/>
          <w:color w:val="auto"/>
          <w:sz w:val="21"/>
          <w:szCs w:val="21"/>
        </w:rPr>
        <w:t>6</w:t>
      </w:r>
      <w:r w:rsidRPr="00D7549D">
        <w:rPr>
          <w:rFonts w:ascii="Tahoma" w:hAnsi="Tahoma" w:cs="Tahoma"/>
          <w:color w:val="auto"/>
          <w:sz w:val="21"/>
          <w:szCs w:val="21"/>
        </w:rPr>
        <w:t xml:space="preserve">: Vývoj množství </w:t>
      </w:r>
      <w:r w:rsidR="005003B0">
        <w:rPr>
          <w:rFonts w:ascii="Tahoma" w:hAnsi="Tahoma" w:cs="Tahoma"/>
          <w:color w:val="auto"/>
          <w:sz w:val="21"/>
          <w:szCs w:val="21"/>
        </w:rPr>
        <w:t>vytříděného</w:t>
      </w:r>
      <w:r w:rsidR="005003B0" w:rsidRPr="00D7549D">
        <w:rPr>
          <w:rFonts w:ascii="Tahoma" w:hAnsi="Tahoma" w:cs="Tahoma"/>
          <w:color w:val="auto"/>
          <w:sz w:val="21"/>
          <w:szCs w:val="21"/>
        </w:rPr>
        <w:t xml:space="preserve"> </w:t>
      </w:r>
      <w:r w:rsidRPr="00D7549D">
        <w:rPr>
          <w:rFonts w:ascii="Tahoma" w:hAnsi="Tahoma" w:cs="Tahoma"/>
          <w:color w:val="auto"/>
          <w:sz w:val="21"/>
          <w:szCs w:val="21"/>
        </w:rPr>
        <w:t>p</w:t>
      </w:r>
      <w:r w:rsidR="005C6E4D">
        <w:rPr>
          <w:rFonts w:ascii="Tahoma" w:hAnsi="Tahoma" w:cs="Tahoma"/>
          <w:color w:val="auto"/>
          <w:sz w:val="21"/>
          <w:szCs w:val="21"/>
        </w:rPr>
        <w:t>lastu v tunách v letech 2003–202</w:t>
      </w:r>
      <w:r w:rsidR="000C1E24">
        <w:rPr>
          <w:rFonts w:ascii="Tahoma" w:hAnsi="Tahoma" w:cs="Tahoma"/>
          <w:color w:val="auto"/>
          <w:sz w:val="21"/>
          <w:szCs w:val="21"/>
        </w:rPr>
        <w:t>3</w:t>
      </w:r>
    </w:p>
    <w:p w14:paraId="0189EAF0" w14:textId="77777777" w:rsidR="006C4840" w:rsidRPr="00D7549D" w:rsidRDefault="000C1E24" w:rsidP="006C4840">
      <w:pPr>
        <w:rPr>
          <w:rFonts w:ascii="Tahoma" w:hAnsi="Tahoma" w:cs="Tahoma"/>
          <w:sz w:val="21"/>
          <w:szCs w:val="21"/>
        </w:rPr>
      </w:pPr>
      <w:r>
        <w:rPr>
          <w:noProof/>
        </w:rPr>
        <w:drawing>
          <wp:inline distT="0" distB="0" distL="0" distR="0" wp14:anchorId="6E92CA33" wp14:editId="1063F640">
            <wp:extent cx="6172200" cy="3865880"/>
            <wp:effectExtent l="0" t="0" r="0" b="1270"/>
            <wp:docPr id="1774737928" name="Graf 1">
              <a:extLst xmlns:a="http://schemas.openxmlformats.org/drawingml/2006/main">
                <a:ext uri="{FF2B5EF4-FFF2-40B4-BE49-F238E27FC236}">
                  <a16:creationId xmlns:a16="http://schemas.microsoft.com/office/drawing/2014/main" id="{00000000-0008-0000-04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306B58A" w14:textId="77777777" w:rsidR="00970158" w:rsidRDefault="00970158" w:rsidP="00375EB9">
      <w:pPr>
        <w:rPr>
          <w:rFonts w:ascii="Tahoma" w:hAnsi="Tahoma" w:cs="Tahoma"/>
          <w:b/>
          <w:sz w:val="21"/>
          <w:szCs w:val="21"/>
        </w:rPr>
      </w:pPr>
    </w:p>
    <w:p w14:paraId="536F3A1D" w14:textId="77777777" w:rsidR="00970158" w:rsidRDefault="00970158" w:rsidP="00375EB9">
      <w:pPr>
        <w:rPr>
          <w:rFonts w:ascii="Tahoma" w:hAnsi="Tahoma" w:cs="Tahoma"/>
          <w:b/>
          <w:sz w:val="21"/>
          <w:szCs w:val="21"/>
        </w:rPr>
      </w:pPr>
    </w:p>
    <w:p w14:paraId="6D154948" w14:textId="77777777" w:rsidR="00736CF6" w:rsidRDefault="00736CF6" w:rsidP="00375EB9">
      <w:pPr>
        <w:rPr>
          <w:rFonts w:ascii="Tahoma" w:hAnsi="Tahoma" w:cs="Tahoma"/>
          <w:b/>
          <w:sz w:val="21"/>
          <w:szCs w:val="21"/>
        </w:rPr>
      </w:pPr>
    </w:p>
    <w:p w14:paraId="64A9301D" w14:textId="77777777" w:rsidR="00736CF6" w:rsidRDefault="00736CF6" w:rsidP="00375EB9">
      <w:pPr>
        <w:rPr>
          <w:rFonts w:ascii="Tahoma" w:hAnsi="Tahoma" w:cs="Tahoma"/>
          <w:b/>
          <w:sz w:val="21"/>
          <w:szCs w:val="21"/>
        </w:rPr>
      </w:pPr>
    </w:p>
    <w:p w14:paraId="49A7A42C" w14:textId="77777777" w:rsidR="00736CF6" w:rsidRDefault="00736CF6" w:rsidP="00375EB9">
      <w:pPr>
        <w:rPr>
          <w:rFonts w:ascii="Tahoma" w:hAnsi="Tahoma" w:cs="Tahoma"/>
          <w:b/>
          <w:sz w:val="21"/>
          <w:szCs w:val="21"/>
        </w:rPr>
      </w:pPr>
    </w:p>
    <w:p w14:paraId="3F520B72" w14:textId="77777777" w:rsidR="00375EB9" w:rsidRPr="00D7549D" w:rsidRDefault="00375EB9" w:rsidP="00375EB9">
      <w:pPr>
        <w:rPr>
          <w:rFonts w:ascii="Tahoma" w:hAnsi="Tahoma" w:cs="Tahoma"/>
          <w:b/>
          <w:sz w:val="21"/>
          <w:szCs w:val="21"/>
        </w:rPr>
      </w:pPr>
      <w:r w:rsidRPr="00D7549D">
        <w:rPr>
          <w:rFonts w:ascii="Tahoma" w:hAnsi="Tahoma" w:cs="Tahoma"/>
          <w:b/>
          <w:sz w:val="21"/>
          <w:szCs w:val="21"/>
        </w:rPr>
        <w:lastRenderedPageBreak/>
        <w:t>Objemné odpady</w:t>
      </w:r>
    </w:p>
    <w:p w14:paraId="498DD7A0" w14:textId="77777777" w:rsidR="00375EB9" w:rsidRPr="00D7549D" w:rsidRDefault="00375EB9" w:rsidP="00375EB9">
      <w:pPr>
        <w:rPr>
          <w:rFonts w:ascii="Tahoma" w:hAnsi="Tahoma" w:cs="Tahoma"/>
          <w:sz w:val="21"/>
          <w:szCs w:val="21"/>
        </w:rPr>
      </w:pPr>
    </w:p>
    <w:p w14:paraId="6195EC57" w14:textId="77777777" w:rsidR="00375EB9" w:rsidRDefault="00375EB9" w:rsidP="00375EB9">
      <w:pPr>
        <w:jc w:val="both"/>
        <w:rPr>
          <w:rFonts w:ascii="Tahoma" w:hAnsi="Tahoma" w:cs="Tahoma"/>
          <w:sz w:val="21"/>
          <w:szCs w:val="21"/>
        </w:rPr>
      </w:pPr>
      <w:r w:rsidRPr="00D7549D">
        <w:rPr>
          <w:rFonts w:ascii="Tahoma" w:hAnsi="Tahoma" w:cs="Tahoma"/>
          <w:sz w:val="21"/>
          <w:szCs w:val="21"/>
        </w:rPr>
        <w:t xml:space="preserve">Mezi objemné odpady patří skříně, ostatní nábytek, koberce, matrace atd. Tyto odpady </w:t>
      </w:r>
      <w:r w:rsidRPr="00D7549D">
        <w:rPr>
          <w:rFonts w:ascii="Tahoma" w:hAnsi="Tahoma" w:cs="Tahoma"/>
          <w:b/>
          <w:bCs/>
          <w:sz w:val="21"/>
          <w:szCs w:val="21"/>
        </w:rPr>
        <w:t>nelze</w:t>
      </w:r>
      <w:r w:rsidRPr="00D7549D">
        <w:rPr>
          <w:rFonts w:ascii="Tahoma" w:hAnsi="Tahoma" w:cs="Tahoma"/>
          <w:sz w:val="21"/>
          <w:szCs w:val="21"/>
        </w:rPr>
        <w:t xml:space="preserve"> odkládat do popelnic a kontejnerů, </w:t>
      </w:r>
      <w:r w:rsidRPr="00226514">
        <w:rPr>
          <w:rFonts w:ascii="Tahoma" w:hAnsi="Tahoma" w:cs="Tahoma"/>
          <w:b/>
          <w:sz w:val="21"/>
          <w:szCs w:val="21"/>
        </w:rPr>
        <w:t>ani vedle nich</w:t>
      </w:r>
      <w:r w:rsidRPr="00D7549D">
        <w:rPr>
          <w:rFonts w:ascii="Tahoma" w:hAnsi="Tahoma" w:cs="Tahoma"/>
          <w:sz w:val="21"/>
          <w:szCs w:val="21"/>
        </w:rPr>
        <w:t>. Objemné odpady je možné zdarma odložit ve</w:t>
      </w:r>
      <w:r>
        <w:rPr>
          <w:rFonts w:ascii="Tahoma" w:hAnsi="Tahoma" w:cs="Tahoma"/>
          <w:sz w:val="21"/>
          <w:szCs w:val="21"/>
        </w:rPr>
        <w:t> </w:t>
      </w:r>
      <w:r w:rsidRPr="00D7549D">
        <w:rPr>
          <w:rFonts w:ascii="Tahoma" w:hAnsi="Tahoma" w:cs="Tahoma"/>
          <w:sz w:val="21"/>
          <w:szCs w:val="21"/>
        </w:rPr>
        <w:t>sběrných dvorech a dále v rámci svozů, které probíhají v měsících březen, květen, červenec, září a listopad formou přistavení velkoobjemových kontejnerů v předem stanovených ulicích.</w:t>
      </w:r>
    </w:p>
    <w:p w14:paraId="4F98AFEE" w14:textId="77777777" w:rsidR="003F04D3" w:rsidRPr="00D7549D" w:rsidRDefault="003F04D3" w:rsidP="00375EB9">
      <w:pPr>
        <w:jc w:val="both"/>
        <w:rPr>
          <w:rFonts w:ascii="Tahoma" w:hAnsi="Tahoma" w:cs="Tahoma"/>
          <w:sz w:val="21"/>
          <w:szCs w:val="21"/>
        </w:rPr>
      </w:pPr>
    </w:p>
    <w:p w14:paraId="2FA20DA3" w14:textId="77777777" w:rsidR="00375EB9" w:rsidRPr="00D7549D" w:rsidRDefault="005C6E4D" w:rsidP="00375EB9">
      <w:pPr>
        <w:jc w:val="both"/>
        <w:rPr>
          <w:rFonts w:ascii="Tahoma" w:hAnsi="Tahoma" w:cs="Tahoma"/>
          <w:sz w:val="21"/>
          <w:szCs w:val="21"/>
        </w:rPr>
      </w:pPr>
      <w:r>
        <w:rPr>
          <w:rFonts w:ascii="Tahoma" w:hAnsi="Tahoma" w:cs="Tahoma"/>
          <w:sz w:val="21"/>
          <w:szCs w:val="21"/>
        </w:rPr>
        <w:t>V roce 202</w:t>
      </w:r>
      <w:r w:rsidR="00702A9F">
        <w:rPr>
          <w:rFonts w:ascii="Tahoma" w:hAnsi="Tahoma" w:cs="Tahoma"/>
          <w:sz w:val="21"/>
          <w:szCs w:val="21"/>
        </w:rPr>
        <w:t>3</w:t>
      </w:r>
      <w:r w:rsidR="00375EB9" w:rsidRPr="00D7549D">
        <w:rPr>
          <w:rFonts w:ascii="Tahoma" w:hAnsi="Tahoma" w:cs="Tahoma"/>
          <w:sz w:val="21"/>
          <w:szCs w:val="21"/>
        </w:rPr>
        <w:t xml:space="preserve"> vyprodukovali občané města a statutární město Frýdek-Místek celkem </w:t>
      </w:r>
      <w:r w:rsidR="007946CE" w:rsidRPr="007946CE">
        <w:rPr>
          <w:rFonts w:ascii="Tahoma" w:hAnsi="Tahoma" w:cs="Tahoma"/>
          <w:b/>
          <w:sz w:val="21"/>
          <w:szCs w:val="21"/>
        </w:rPr>
        <w:t>2</w:t>
      </w:r>
      <w:r w:rsidR="00AD07FA" w:rsidRPr="007946CE">
        <w:rPr>
          <w:rFonts w:ascii="Tahoma" w:hAnsi="Tahoma" w:cs="Tahoma"/>
          <w:b/>
          <w:sz w:val="21"/>
          <w:szCs w:val="21"/>
        </w:rPr>
        <w:t> </w:t>
      </w:r>
      <w:r w:rsidR="007946CE">
        <w:rPr>
          <w:rFonts w:ascii="Tahoma" w:hAnsi="Tahoma" w:cs="Tahoma"/>
          <w:b/>
          <w:sz w:val="21"/>
          <w:szCs w:val="21"/>
        </w:rPr>
        <w:t>2</w:t>
      </w:r>
      <w:r w:rsidR="00702A9F">
        <w:rPr>
          <w:rFonts w:ascii="Tahoma" w:hAnsi="Tahoma" w:cs="Tahoma"/>
          <w:b/>
          <w:sz w:val="21"/>
          <w:szCs w:val="21"/>
        </w:rPr>
        <w:t>50</w:t>
      </w:r>
      <w:r w:rsidR="00375EB9" w:rsidRPr="00D7549D">
        <w:rPr>
          <w:rFonts w:ascii="Tahoma" w:hAnsi="Tahoma" w:cs="Tahoma"/>
          <w:b/>
          <w:sz w:val="21"/>
          <w:szCs w:val="21"/>
        </w:rPr>
        <w:t xml:space="preserve"> tun </w:t>
      </w:r>
      <w:r w:rsidR="00375EB9" w:rsidRPr="00D7549D">
        <w:rPr>
          <w:rFonts w:ascii="Tahoma" w:hAnsi="Tahoma" w:cs="Tahoma"/>
          <w:sz w:val="21"/>
          <w:szCs w:val="21"/>
        </w:rPr>
        <w:t>objemného odpadu</w:t>
      </w:r>
      <w:r w:rsidR="007946CE">
        <w:rPr>
          <w:rFonts w:ascii="Tahoma" w:hAnsi="Tahoma" w:cs="Tahoma"/>
          <w:sz w:val="21"/>
          <w:szCs w:val="21"/>
        </w:rPr>
        <w:t xml:space="preserve">. Množství objemného odpadu </w:t>
      </w:r>
      <w:r w:rsidR="00702A9F">
        <w:rPr>
          <w:rFonts w:ascii="Tahoma" w:hAnsi="Tahoma" w:cs="Tahoma"/>
          <w:sz w:val="21"/>
          <w:szCs w:val="21"/>
        </w:rPr>
        <w:t>stoup</w:t>
      </w:r>
      <w:r w:rsidR="00375EB9" w:rsidRPr="00D7549D">
        <w:rPr>
          <w:rFonts w:ascii="Tahoma" w:hAnsi="Tahoma" w:cs="Tahoma"/>
          <w:sz w:val="21"/>
          <w:szCs w:val="21"/>
        </w:rPr>
        <w:t>lo oproti roku 20</w:t>
      </w:r>
      <w:r w:rsidR="00D4616B">
        <w:rPr>
          <w:rFonts w:ascii="Tahoma" w:hAnsi="Tahoma" w:cs="Tahoma"/>
          <w:sz w:val="21"/>
          <w:szCs w:val="21"/>
        </w:rPr>
        <w:t>2</w:t>
      </w:r>
      <w:r w:rsidR="00702A9F">
        <w:rPr>
          <w:rFonts w:ascii="Tahoma" w:hAnsi="Tahoma" w:cs="Tahoma"/>
          <w:sz w:val="21"/>
          <w:szCs w:val="21"/>
        </w:rPr>
        <w:t>2</w:t>
      </w:r>
      <w:r w:rsidR="00375EB9" w:rsidRPr="00D7549D">
        <w:rPr>
          <w:rFonts w:ascii="Tahoma" w:hAnsi="Tahoma" w:cs="Tahoma"/>
          <w:sz w:val="21"/>
          <w:szCs w:val="21"/>
        </w:rPr>
        <w:t xml:space="preserve"> o </w:t>
      </w:r>
      <w:r w:rsidR="00702A9F">
        <w:rPr>
          <w:rFonts w:ascii="Tahoma" w:hAnsi="Tahoma" w:cs="Tahoma"/>
          <w:sz w:val="21"/>
          <w:szCs w:val="21"/>
        </w:rPr>
        <w:t>32</w:t>
      </w:r>
      <w:r w:rsidR="00375EB9" w:rsidRPr="00D7549D">
        <w:rPr>
          <w:rFonts w:ascii="Tahoma" w:hAnsi="Tahoma" w:cs="Tahoma"/>
          <w:sz w:val="21"/>
          <w:szCs w:val="21"/>
        </w:rPr>
        <w:t xml:space="preserve"> tun. Vývoj množství ob</w:t>
      </w:r>
      <w:r>
        <w:rPr>
          <w:rFonts w:ascii="Tahoma" w:hAnsi="Tahoma" w:cs="Tahoma"/>
          <w:sz w:val="21"/>
          <w:szCs w:val="21"/>
        </w:rPr>
        <w:t>jemného odpadu v letech 2003–202</w:t>
      </w:r>
      <w:r w:rsidR="00702A9F">
        <w:rPr>
          <w:rFonts w:ascii="Tahoma" w:hAnsi="Tahoma" w:cs="Tahoma"/>
          <w:sz w:val="21"/>
          <w:szCs w:val="21"/>
        </w:rPr>
        <w:t>3</w:t>
      </w:r>
      <w:r w:rsidR="00375EB9" w:rsidRPr="00D7549D">
        <w:rPr>
          <w:rFonts w:ascii="Tahoma" w:hAnsi="Tahoma" w:cs="Tahoma"/>
          <w:sz w:val="21"/>
          <w:szCs w:val="21"/>
        </w:rPr>
        <w:t xml:space="preserve"> znázorňuje graf</w:t>
      </w:r>
      <w:r w:rsidR="00F04CAE">
        <w:rPr>
          <w:rFonts w:ascii="Tahoma" w:hAnsi="Tahoma" w:cs="Tahoma"/>
          <w:sz w:val="21"/>
          <w:szCs w:val="21"/>
        </w:rPr>
        <w:t xml:space="preserve"> č. </w:t>
      </w:r>
      <w:r w:rsidR="00702A9F">
        <w:rPr>
          <w:rFonts w:ascii="Tahoma" w:hAnsi="Tahoma" w:cs="Tahoma"/>
          <w:sz w:val="21"/>
          <w:szCs w:val="21"/>
        </w:rPr>
        <w:t>7</w:t>
      </w:r>
      <w:r w:rsidR="00375EB9" w:rsidRPr="00D7549D">
        <w:rPr>
          <w:rFonts w:ascii="Tahoma" w:hAnsi="Tahoma" w:cs="Tahoma"/>
          <w:sz w:val="21"/>
          <w:szCs w:val="21"/>
        </w:rPr>
        <w:t>.</w:t>
      </w:r>
    </w:p>
    <w:p w14:paraId="76F1E753" w14:textId="77777777" w:rsidR="00375EB9" w:rsidRPr="00D7549D" w:rsidRDefault="00375EB9" w:rsidP="00375EB9">
      <w:pPr>
        <w:jc w:val="both"/>
        <w:rPr>
          <w:rFonts w:ascii="Tahoma" w:hAnsi="Tahoma" w:cs="Tahoma"/>
          <w:sz w:val="21"/>
          <w:szCs w:val="21"/>
        </w:rPr>
      </w:pPr>
    </w:p>
    <w:p w14:paraId="39445570" w14:textId="77777777" w:rsidR="00375EB9" w:rsidRDefault="00F04CAE" w:rsidP="00375EB9">
      <w:pPr>
        <w:jc w:val="both"/>
        <w:rPr>
          <w:rFonts w:ascii="Tahoma" w:hAnsi="Tahoma" w:cs="Tahoma"/>
          <w:b/>
          <w:bCs/>
          <w:sz w:val="21"/>
          <w:szCs w:val="21"/>
        </w:rPr>
      </w:pPr>
      <w:r>
        <w:rPr>
          <w:rFonts w:ascii="Tahoma" w:hAnsi="Tahoma" w:cs="Tahoma"/>
          <w:b/>
          <w:bCs/>
          <w:sz w:val="21"/>
          <w:szCs w:val="21"/>
        </w:rPr>
        <w:t xml:space="preserve">Graf č. </w:t>
      </w:r>
      <w:r w:rsidR="00702A9F">
        <w:rPr>
          <w:rFonts w:ascii="Tahoma" w:hAnsi="Tahoma" w:cs="Tahoma"/>
          <w:b/>
          <w:bCs/>
          <w:sz w:val="21"/>
          <w:szCs w:val="21"/>
        </w:rPr>
        <w:t>7</w:t>
      </w:r>
      <w:r w:rsidR="00375EB9" w:rsidRPr="00D7549D">
        <w:rPr>
          <w:rFonts w:ascii="Tahoma" w:hAnsi="Tahoma" w:cs="Tahoma"/>
          <w:b/>
          <w:bCs/>
          <w:sz w:val="21"/>
          <w:szCs w:val="21"/>
        </w:rPr>
        <w:t xml:space="preserve">: Vývoj množství </w:t>
      </w:r>
      <w:r w:rsidR="005003B0">
        <w:rPr>
          <w:rFonts w:ascii="Tahoma" w:hAnsi="Tahoma" w:cs="Tahoma"/>
          <w:b/>
          <w:bCs/>
          <w:sz w:val="21"/>
          <w:szCs w:val="21"/>
        </w:rPr>
        <w:t>objemného</w:t>
      </w:r>
      <w:r w:rsidR="005003B0" w:rsidRPr="00D7549D">
        <w:rPr>
          <w:rFonts w:ascii="Tahoma" w:hAnsi="Tahoma" w:cs="Tahoma"/>
          <w:b/>
          <w:bCs/>
          <w:sz w:val="21"/>
          <w:szCs w:val="21"/>
        </w:rPr>
        <w:t xml:space="preserve"> </w:t>
      </w:r>
      <w:r w:rsidR="00375EB9" w:rsidRPr="00D7549D">
        <w:rPr>
          <w:rFonts w:ascii="Tahoma" w:hAnsi="Tahoma" w:cs="Tahoma"/>
          <w:b/>
          <w:bCs/>
          <w:sz w:val="21"/>
          <w:szCs w:val="21"/>
        </w:rPr>
        <w:t>o</w:t>
      </w:r>
      <w:r w:rsidR="005C6E4D">
        <w:rPr>
          <w:rFonts w:ascii="Tahoma" w:hAnsi="Tahoma" w:cs="Tahoma"/>
          <w:b/>
          <w:bCs/>
          <w:sz w:val="21"/>
          <w:szCs w:val="21"/>
        </w:rPr>
        <w:t>dpadu v tunách v letech 2003–202</w:t>
      </w:r>
      <w:r w:rsidR="00702A9F">
        <w:rPr>
          <w:rFonts w:ascii="Tahoma" w:hAnsi="Tahoma" w:cs="Tahoma"/>
          <w:b/>
          <w:bCs/>
          <w:sz w:val="21"/>
          <w:szCs w:val="21"/>
        </w:rPr>
        <w:t>3</w:t>
      </w:r>
    </w:p>
    <w:p w14:paraId="0D8E6DF3" w14:textId="77777777" w:rsidR="00B92440" w:rsidRDefault="00B92440" w:rsidP="006C4840">
      <w:pPr>
        <w:rPr>
          <w:rFonts w:ascii="Tahoma" w:hAnsi="Tahoma" w:cs="Tahoma"/>
          <w:b/>
          <w:sz w:val="21"/>
          <w:szCs w:val="21"/>
        </w:rPr>
      </w:pPr>
    </w:p>
    <w:p w14:paraId="2C1CC8F6" w14:textId="77777777" w:rsidR="00B92440" w:rsidRDefault="00702A9F" w:rsidP="006C4840">
      <w:pPr>
        <w:rPr>
          <w:rFonts w:ascii="Tahoma" w:hAnsi="Tahoma" w:cs="Tahoma"/>
          <w:b/>
          <w:sz w:val="21"/>
          <w:szCs w:val="21"/>
        </w:rPr>
      </w:pPr>
      <w:r>
        <w:rPr>
          <w:noProof/>
        </w:rPr>
        <w:drawing>
          <wp:inline distT="0" distB="0" distL="0" distR="0" wp14:anchorId="65EAA221" wp14:editId="755AC49F">
            <wp:extent cx="5991225" cy="3668395"/>
            <wp:effectExtent l="0" t="0" r="0" b="8255"/>
            <wp:docPr id="161600565" name="Graf 1">
              <a:extLst xmlns:a="http://schemas.openxmlformats.org/drawingml/2006/main">
                <a:ext uri="{FF2B5EF4-FFF2-40B4-BE49-F238E27FC236}">
                  <a16:creationId xmlns:a16="http://schemas.microsoft.com/office/drawing/2014/main" id="{00000000-0008-0000-04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7565C5B" w14:textId="77777777" w:rsidR="00702A9F" w:rsidRDefault="00702A9F" w:rsidP="006C4840">
      <w:pPr>
        <w:rPr>
          <w:rFonts w:ascii="Tahoma" w:hAnsi="Tahoma" w:cs="Tahoma"/>
          <w:b/>
          <w:sz w:val="21"/>
          <w:szCs w:val="21"/>
        </w:rPr>
      </w:pPr>
    </w:p>
    <w:p w14:paraId="77220AD6" w14:textId="77777777" w:rsidR="006C4840" w:rsidRPr="00D7549D" w:rsidRDefault="006C4840" w:rsidP="006C4840">
      <w:pPr>
        <w:rPr>
          <w:rFonts w:ascii="Tahoma" w:hAnsi="Tahoma" w:cs="Tahoma"/>
          <w:b/>
          <w:sz w:val="21"/>
          <w:szCs w:val="21"/>
        </w:rPr>
      </w:pPr>
      <w:r w:rsidRPr="00D7549D">
        <w:rPr>
          <w:rFonts w:ascii="Tahoma" w:hAnsi="Tahoma" w:cs="Tahoma"/>
          <w:b/>
          <w:sz w:val="21"/>
          <w:szCs w:val="21"/>
        </w:rPr>
        <w:t>Biologicky rozložitelné odpady</w:t>
      </w:r>
    </w:p>
    <w:p w14:paraId="7006B6A4" w14:textId="77777777" w:rsidR="006C4840" w:rsidRPr="00D7549D" w:rsidRDefault="006C4840" w:rsidP="006C4840">
      <w:pPr>
        <w:rPr>
          <w:rFonts w:ascii="Tahoma" w:hAnsi="Tahoma" w:cs="Tahoma"/>
          <w:b/>
          <w:sz w:val="21"/>
          <w:szCs w:val="21"/>
        </w:rPr>
      </w:pPr>
    </w:p>
    <w:p w14:paraId="4C999801" w14:textId="77777777" w:rsidR="005C6E4D" w:rsidRDefault="006C4840" w:rsidP="005C6E4D">
      <w:pPr>
        <w:jc w:val="both"/>
        <w:rPr>
          <w:rFonts w:ascii="Tahoma" w:hAnsi="Tahoma" w:cs="Tahoma"/>
          <w:sz w:val="21"/>
          <w:szCs w:val="21"/>
        </w:rPr>
      </w:pPr>
      <w:r w:rsidRPr="00D7549D">
        <w:rPr>
          <w:rFonts w:ascii="Tahoma" w:hAnsi="Tahoma" w:cs="Tahoma"/>
          <w:sz w:val="21"/>
          <w:szCs w:val="21"/>
        </w:rPr>
        <w:t xml:space="preserve">Jedná se o odpad ze zahrad, zeminu </w:t>
      </w:r>
      <w:r>
        <w:rPr>
          <w:rFonts w:ascii="Tahoma" w:hAnsi="Tahoma" w:cs="Tahoma"/>
          <w:sz w:val="21"/>
          <w:szCs w:val="21"/>
        </w:rPr>
        <w:t>z</w:t>
      </w:r>
      <w:r w:rsidRPr="00D7549D">
        <w:rPr>
          <w:rFonts w:ascii="Tahoma" w:hAnsi="Tahoma" w:cs="Tahoma"/>
          <w:sz w:val="21"/>
          <w:szCs w:val="21"/>
        </w:rPr>
        <w:t> květináčů, ořezy tenkých vět</w:t>
      </w:r>
      <w:r>
        <w:rPr>
          <w:rFonts w:ascii="Tahoma" w:hAnsi="Tahoma" w:cs="Tahoma"/>
          <w:sz w:val="21"/>
          <w:szCs w:val="21"/>
        </w:rPr>
        <w:t>v</w:t>
      </w:r>
      <w:r w:rsidRPr="00D7549D">
        <w:rPr>
          <w:rFonts w:ascii="Tahoma" w:hAnsi="Tahoma" w:cs="Tahoma"/>
          <w:sz w:val="21"/>
          <w:szCs w:val="21"/>
        </w:rPr>
        <w:t xml:space="preserve">í, případně štěpky dřevin, drny, spadané ovoce, zbytky zeleniny a ovoce z domácností, čajové sáčky, kávová sedlina. </w:t>
      </w:r>
      <w:r w:rsidR="005C6E4D">
        <w:rPr>
          <w:rFonts w:ascii="Tahoma" w:hAnsi="Tahoma" w:cs="Tahoma"/>
          <w:sz w:val="21"/>
          <w:szCs w:val="21"/>
        </w:rPr>
        <w:t>V roce 202</w:t>
      </w:r>
      <w:r w:rsidR="00702A9F">
        <w:rPr>
          <w:rFonts w:ascii="Tahoma" w:hAnsi="Tahoma" w:cs="Tahoma"/>
          <w:sz w:val="21"/>
          <w:szCs w:val="21"/>
        </w:rPr>
        <w:t>3</w:t>
      </w:r>
      <w:r w:rsidR="005C6E4D" w:rsidRPr="00D7549D">
        <w:rPr>
          <w:rFonts w:ascii="Tahoma" w:hAnsi="Tahoma" w:cs="Tahoma"/>
          <w:sz w:val="21"/>
          <w:szCs w:val="21"/>
        </w:rPr>
        <w:t xml:space="preserve"> vyprodukovali občané města a statutární město Frýdek-Místek celkem </w:t>
      </w:r>
      <w:r w:rsidR="00702A9F">
        <w:rPr>
          <w:rFonts w:ascii="Tahoma" w:hAnsi="Tahoma" w:cs="Tahoma"/>
          <w:b/>
          <w:sz w:val="21"/>
          <w:szCs w:val="21"/>
        </w:rPr>
        <w:t>5 073</w:t>
      </w:r>
      <w:r w:rsidR="005C6E4D" w:rsidRPr="00D7549D">
        <w:rPr>
          <w:rFonts w:ascii="Tahoma" w:hAnsi="Tahoma" w:cs="Tahoma"/>
          <w:b/>
          <w:sz w:val="21"/>
          <w:szCs w:val="21"/>
        </w:rPr>
        <w:t xml:space="preserve"> tun </w:t>
      </w:r>
      <w:r w:rsidR="005C6E4D">
        <w:rPr>
          <w:rFonts w:ascii="Tahoma" w:hAnsi="Tahoma" w:cs="Tahoma"/>
          <w:sz w:val="21"/>
          <w:szCs w:val="21"/>
        </w:rPr>
        <w:t>biologicky rozložitelného odpadu. Množství biologicky rozložitelného</w:t>
      </w:r>
      <w:r w:rsidR="005C6E4D" w:rsidRPr="00D7549D">
        <w:rPr>
          <w:rFonts w:ascii="Tahoma" w:hAnsi="Tahoma" w:cs="Tahoma"/>
          <w:sz w:val="21"/>
          <w:szCs w:val="21"/>
        </w:rPr>
        <w:t xml:space="preserve"> odpadu </w:t>
      </w:r>
      <w:r w:rsidR="00702A9F">
        <w:rPr>
          <w:rFonts w:ascii="Tahoma" w:hAnsi="Tahoma" w:cs="Tahoma"/>
          <w:sz w:val="21"/>
          <w:szCs w:val="21"/>
        </w:rPr>
        <w:t>stoup</w:t>
      </w:r>
      <w:r w:rsidR="00AD07FA">
        <w:rPr>
          <w:rFonts w:ascii="Tahoma" w:hAnsi="Tahoma" w:cs="Tahoma"/>
          <w:sz w:val="21"/>
          <w:szCs w:val="21"/>
        </w:rPr>
        <w:t>l</w:t>
      </w:r>
      <w:r w:rsidR="005C6E4D" w:rsidRPr="00D7549D">
        <w:rPr>
          <w:rFonts w:ascii="Tahoma" w:hAnsi="Tahoma" w:cs="Tahoma"/>
          <w:sz w:val="21"/>
          <w:szCs w:val="21"/>
        </w:rPr>
        <w:t>o oproti roku 20</w:t>
      </w:r>
      <w:r w:rsidR="00AD07FA">
        <w:rPr>
          <w:rFonts w:ascii="Tahoma" w:hAnsi="Tahoma" w:cs="Tahoma"/>
          <w:sz w:val="21"/>
          <w:szCs w:val="21"/>
        </w:rPr>
        <w:t>2</w:t>
      </w:r>
      <w:r w:rsidR="00702A9F">
        <w:rPr>
          <w:rFonts w:ascii="Tahoma" w:hAnsi="Tahoma" w:cs="Tahoma"/>
          <w:sz w:val="21"/>
          <w:szCs w:val="21"/>
        </w:rPr>
        <w:t>2</w:t>
      </w:r>
      <w:r w:rsidR="005C6E4D" w:rsidRPr="00D7549D">
        <w:rPr>
          <w:rFonts w:ascii="Tahoma" w:hAnsi="Tahoma" w:cs="Tahoma"/>
          <w:sz w:val="21"/>
          <w:szCs w:val="21"/>
        </w:rPr>
        <w:t xml:space="preserve"> o </w:t>
      </w:r>
      <w:r w:rsidR="00702A9F">
        <w:rPr>
          <w:rFonts w:ascii="Tahoma" w:hAnsi="Tahoma" w:cs="Tahoma"/>
          <w:sz w:val="21"/>
          <w:szCs w:val="21"/>
        </w:rPr>
        <w:t>1</w:t>
      </w:r>
      <w:r w:rsidR="007946CE">
        <w:rPr>
          <w:rFonts w:ascii="Tahoma" w:hAnsi="Tahoma" w:cs="Tahoma"/>
          <w:sz w:val="21"/>
          <w:szCs w:val="21"/>
        </w:rPr>
        <w:t>95</w:t>
      </w:r>
      <w:r w:rsidR="005C6E4D" w:rsidRPr="00D7549D">
        <w:rPr>
          <w:rFonts w:ascii="Tahoma" w:hAnsi="Tahoma" w:cs="Tahoma"/>
          <w:sz w:val="21"/>
          <w:szCs w:val="21"/>
        </w:rPr>
        <w:t xml:space="preserve"> tun. Vývoj množství </w:t>
      </w:r>
      <w:r w:rsidR="005003B0">
        <w:rPr>
          <w:rFonts w:ascii="Tahoma" w:hAnsi="Tahoma" w:cs="Tahoma"/>
          <w:sz w:val="21"/>
          <w:szCs w:val="21"/>
        </w:rPr>
        <w:t xml:space="preserve">biologicky rozložitelného </w:t>
      </w:r>
      <w:r w:rsidR="005C6E4D">
        <w:rPr>
          <w:rFonts w:ascii="Tahoma" w:hAnsi="Tahoma" w:cs="Tahoma"/>
          <w:sz w:val="21"/>
          <w:szCs w:val="21"/>
        </w:rPr>
        <w:t xml:space="preserve">odpadu v letech </w:t>
      </w:r>
      <w:r w:rsidR="005003B0">
        <w:rPr>
          <w:rFonts w:ascii="Tahoma" w:hAnsi="Tahoma" w:cs="Tahoma"/>
          <w:sz w:val="21"/>
          <w:szCs w:val="21"/>
        </w:rPr>
        <w:t>2016</w:t>
      </w:r>
      <w:r w:rsidR="005C6E4D">
        <w:rPr>
          <w:rFonts w:ascii="Tahoma" w:hAnsi="Tahoma" w:cs="Tahoma"/>
          <w:sz w:val="21"/>
          <w:szCs w:val="21"/>
        </w:rPr>
        <w:t>–202</w:t>
      </w:r>
      <w:r w:rsidR="007946CE">
        <w:rPr>
          <w:rFonts w:ascii="Tahoma" w:hAnsi="Tahoma" w:cs="Tahoma"/>
          <w:sz w:val="21"/>
          <w:szCs w:val="21"/>
        </w:rPr>
        <w:t>2</w:t>
      </w:r>
      <w:r w:rsidR="005C6E4D" w:rsidRPr="00D7549D">
        <w:rPr>
          <w:rFonts w:ascii="Tahoma" w:hAnsi="Tahoma" w:cs="Tahoma"/>
          <w:sz w:val="21"/>
          <w:szCs w:val="21"/>
        </w:rPr>
        <w:t xml:space="preserve"> znázorňuje graf</w:t>
      </w:r>
      <w:r w:rsidR="00F04CAE">
        <w:rPr>
          <w:rFonts w:ascii="Tahoma" w:hAnsi="Tahoma" w:cs="Tahoma"/>
          <w:sz w:val="21"/>
          <w:szCs w:val="21"/>
        </w:rPr>
        <w:t xml:space="preserve"> č. </w:t>
      </w:r>
      <w:r w:rsidR="00702A9F">
        <w:rPr>
          <w:rFonts w:ascii="Tahoma" w:hAnsi="Tahoma" w:cs="Tahoma"/>
          <w:sz w:val="21"/>
          <w:szCs w:val="21"/>
        </w:rPr>
        <w:t>8</w:t>
      </w:r>
      <w:r w:rsidR="005C6E4D" w:rsidRPr="00D7549D">
        <w:rPr>
          <w:rFonts w:ascii="Tahoma" w:hAnsi="Tahoma" w:cs="Tahoma"/>
          <w:sz w:val="21"/>
          <w:szCs w:val="21"/>
        </w:rPr>
        <w:t>.</w:t>
      </w:r>
    </w:p>
    <w:p w14:paraId="3B6943E4" w14:textId="77777777" w:rsidR="0088127B" w:rsidRDefault="0088127B" w:rsidP="005C6E4D">
      <w:pPr>
        <w:jc w:val="both"/>
        <w:rPr>
          <w:rFonts w:ascii="Tahoma" w:hAnsi="Tahoma" w:cs="Tahoma"/>
          <w:sz w:val="21"/>
          <w:szCs w:val="21"/>
        </w:rPr>
      </w:pPr>
    </w:p>
    <w:p w14:paraId="505E6063" w14:textId="5850472F" w:rsidR="006C4840" w:rsidRPr="00D7549D" w:rsidRDefault="00F04CAE" w:rsidP="006C4840">
      <w:pPr>
        <w:pStyle w:val="Titulek"/>
        <w:keepNext/>
        <w:jc w:val="both"/>
        <w:rPr>
          <w:rFonts w:ascii="Tahoma" w:hAnsi="Tahoma" w:cs="Tahoma"/>
          <w:sz w:val="21"/>
          <w:szCs w:val="21"/>
        </w:rPr>
      </w:pPr>
      <w:r>
        <w:rPr>
          <w:rFonts w:ascii="Tahoma" w:hAnsi="Tahoma" w:cs="Tahoma"/>
          <w:color w:val="auto"/>
          <w:sz w:val="21"/>
          <w:szCs w:val="21"/>
        </w:rPr>
        <w:lastRenderedPageBreak/>
        <w:t xml:space="preserve">Graf č. </w:t>
      </w:r>
      <w:r w:rsidR="00702A9F">
        <w:rPr>
          <w:rFonts w:ascii="Tahoma" w:hAnsi="Tahoma" w:cs="Tahoma"/>
          <w:color w:val="auto"/>
          <w:sz w:val="21"/>
          <w:szCs w:val="21"/>
        </w:rPr>
        <w:t>8</w:t>
      </w:r>
      <w:r w:rsidR="006C4840" w:rsidRPr="00D7549D">
        <w:rPr>
          <w:rFonts w:ascii="Tahoma" w:hAnsi="Tahoma" w:cs="Tahoma"/>
          <w:color w:val="auto"/>
          <w:sz w:val="21"/>
          <w:szCs w:val="21"/>
        </w:rPr>
        <w:t>: Vývoj množství bioo</w:t>
      </w:r>
      <w:r w:rsidR="005C6E4D">
        <w:rPr>
          <w:rFonts w:ascii="Tahoma" w:hAnsi="Tahoma" w:cs="Tahoma"/>
          <w:color w:val="auto"/>
          <w:sz w:val="21"/>
          <w:szCs w:val="21"/>
        </w:rPr>
        <w:t>dpadu v tunách v letech 2016–202</w:t>
      </w:r>
      <w:r w:rsidR="00DF1982">
        <w:rPr>
          <w:rFonts w:ascii="Tahoma" w:hAnsi="Tahoma" w:cs="Tahoma"/>
          <w:color w:val="auto"/>
          <w:sz w:val="21"/>
          <w:szCs w:val="21"/>
        </w:rPr>
        <w:t>3</w:t>
      </w:r>
    </w:p>
    <w:p w14:paraId="4FA498A5" w14:textId="77777777" w:rsidR="006C4840" w:rsidRPr="00D7549D" w:rsidRDefault="00702A9F" w:rsidP="006C4840">
      <w:pPr>
        <w:rPr>
          <w:rFonts w:ascii="Tahoma" w:hAnsi="Tahoma" w:cs="Tahoma"/>
          <w:b/>
          <w:sz w:val="21"/>
          <w:szCs w:val="21"/>
        </w:rPr>
      </w:pPr>
      <w:r>
        <w:rPr>
          <w:noProof/>
        </w:rPr>
        <w:drawing>
          <wp:inline distT="0" distB="0" distL="0" distR="0" wp14:anchorId="3635F289" wp14:editId="4EA64577">
            <wp:extent cx="5759450" cy="3235325"/>
            <wp:effectExtent l="0" t="0" r="0" b="3175"/>
            <wp:docPr id="2078962976" name="Graf 1">
              <a:extLst xmlns:a="http://schemas.openxmlformats.org/drawingml/2006/main">
                <a:ext uri="{FF2B5EF4-FFF2-40B4-BE49-F238E27FC236}">
                  <a16:creationId xmlns:a16="http://schemas.microsoft.com/office/drawing/2014/main" id="{00000000-0008-0000-04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880D43F" w14:textId="77777777" w:rsidR="00970158" w:rsidRDefault="00970158" w:rsidP="006C4840">
      <w:pPr>
        <w:rPr>
          <w:rFonts w:ascii="Tahoma" w:hAnsi="Tahoma" w:cs="Tahoma"/>
          <w:b/>
          <w:sz w:val="21"/>
          <w:szCs w:val="21"/>
        </w:rPr>
      </w:pPr>
    </w:p>
    <w:p w14:paraId="015B5AB8" w14:textId="77777777" w:rsidR="002B4D07" w:rsidRDefault="002B4D07" w:rsidP="006C4840">
      <w:pPr>
        <w:rPr>
          <w:rFonts w:ascii="Tahoma" w:hAnsi="Tahoma" w:cs="Tahoma"/>
          <w:b/>
          <w:sz w:val="21"/>
          <w:szCs w:val="21"/>
        </w:rPr>
      </w:pPr>
    </w:p>
    <w:p w14:paraId="28B3F2A0" w14:textId="77777777" w:rsidR="006F1578" w:rsidRDefault="0098644D" w:rsidP="006C4840">
      <w:pPr>
        <w:rPr>
          <w:rFonts w:ascii="Tahoma" w:hAnsi="Tahoma" w:cs="Tahoma"/>
          <w:b/>
          <w:sz w:val="21"/>
          <w:szCs w:val="21"/>
        </w:rPr>
      </w:pPr>
      <w:r>
        <w:rPr>
          <w:rFonts w:ascii="Tahoma" w:hAnsi="Tahoma" w:cs="Tahoma"/>
          <w:b/>
          <w:sz w:val="21"/>
          <w:szCs w:val="21"/>
        </w:rPr>
        <w:t>Potravinářské tuky a oleje</w:t>
      </w:r>
    </w:p>
    <w:p w14:paraId="1A6FBD4B" w14:textId="77777777" w:rsidR="00375EB9" w:rsidRDefault="00375EB9" w:rsidP="006C4840">
      <w:pPr>
        <w:rPr>
          <w:rFonts w:ascii="Tahoma" w:hAnsi="Tahoma" w:cs="Tahoma"/>
          <w:b/>
          <w:sz w:val="21"/>
          <w:szCs w:val="21"/>
        </w:rPr>
      </w:pPr>
    </w:p>
    <w:p w14:paraId="4BBDAB11" w14:textId="77777777" w:rsidR="001E4A38" w:rsidRDefault="00CF3C62" w:rsidP="00375EB9">
      <w:pPr>
        <w:jc w:val="both"/>
        <w:rPr>
          <w:rFonts w:ascii="Tahoma" w:hAnsi="Tahoma" w:cs="Tahoma"/>
          <w:sz w:val="21"/>
          <w:szCs w:val="21"/>
        </w:rPr>
      </w:pPr>
      <w:r>
        <w:rPr>
          <w:rFonts w:ascii="Tahoma" w:hAnsi="Tahoma" w:cs="Tahoma"/>
          <w:sz w:val="21"/>
          <w:szCs w:val="21"/>
        </w:rPr>
        <w:t>V roce</w:t>
      </w:r>
      <w:r w:rsidR="0098644D" w:rsidRPr="0098644D">
        <w:rPr>
          <w:rFonts w:ascii="Tahoma" w:hAnsi="Tahoma" w:cs="Tahoma"/>
          <w:sz w:val="21"/>
          <w:szCs w:val="21"/>
        </w:rPr>
        <w:t xml:space="preserve"> 2018 zavedlo </w:t>
      </w:r>
      <w:r w:rsidR="005003B0">
        <w:rPr>
          <w:rFonts w:ascii="Tahoma" w:hAnsi="Tahoma" w:cs="Tahoma"/>
          <w:sz w:val="21"/>
          <w:szCs w:val="21"/>
        </w:rPr>
        <w:t xml:space="preserve">statutární město Frýdek-Místek </w:t>
      </w:r>
      <w:r w:rsidR="0098644D" w:rsidRPr="0098644D">
        <w:rPr>
          <w:rFonts w:ascii="Tahoma" w:hAnsi="Tahoma" w:cs="Tahoma"/>
          <w:sz w:val="21"/>
          <w:szCs w:val="21"/>
        </w:rPr>
        <w:t xml:space="preserve">svoz </w:t>
      </w:r>
      <w:r w:rsidR="005003B0">
        <w:rPr>
          <w:rFonts w:ascii="Tahoma" w:hAnsi="Tahoma" w:cs="Tahoma"/>
          <w:sz w:val="21"/>
          <w:szCs w:val="21"/>
        </w:rPr>
        <w:t xml:space="preserve">použitých </w:t>
      </w:r>
      <w:r w:rsidR="0098644D" w:rsidRPr="0098644D">
        <w:rPr>
          <w:rFonts w:ascii="Tahoma" w:hAnsi="Tahoma" w:cs="Tahoma"/>
          <w:sz w:val="21"/>
          <w:szCs w:val="21"/>
        </w:rPr>
        <w:t xml:space="preserve">jedlých tuků a olejů ze sídlištní zástavby. Na 10 stanovištích </w:t>
      </w:r>
      <w:r w:rsidR="001E4A38">
        <w:rPr>
          <w:rFonts w:ascii="Tahoma" w:hAnsi="Tahoma" w:cs="Tahoma"/>
          <w:sz w:val="21"/>
          <w:szCs w:val="21"/>
        </w:rPr>
        <w:t>byly</w:t>
      </w:r>
      <w:r w:rsidR="0098644D" w:rsidRPr="0098644D">
        <w:rPr>
          <w:rFonts w:ascii="Tahoma" w:hAnsi="Tahoma" w:cs="Tahoma"/>
          <w:sz w:val="21"/>
          <w:szCs w:val="21"/>
        </w:rPr>
        <w:t xml:space="preserve"> umístěn</w:t>
      </w:r>
      <w:r w:rsidR="0098644D">
        <w:rPr>
          <w:rFonts w:ascii="Tahoma" w:hAnsi="Tahoma" w:cs="Tahoma"/>
          <w:sz w:val="21"/>
          <w:szCs w:val="21"/>
        </w:rPr>
        <w:t xml:space="preserve">y popelnice, do kterých se odkládají tuky a oleje v PET lahvích. </w:t>
      </w:r>
      <w:r w:rsidR="001E4A38">
        <w:rPr>
          <w:rFonts w:ascii="Tahoma" w:hAnsi="Tahoma" w:cs="Tahoma"/>
          <w:sz w:val="21"/>
          <w:szCs w:val="21"/>
        </w:rPr>
        <w:t>Na konci roku 2021 bylo přidáno dalších 100 stanovišť – na území statutárního města Frýdku-Místku se nachází</w:t>
      </w:r>
      <w:r w:rsidR="005003B0">
        <w:rPr>
          <w:rFonts w:ascii="Tahoma" w:hAnsi="Tahoma" w:cs="Tahoma"/>
          <w:sz w:val="21"/>
          <w:szCs w:val="21"/>
        </w:rPr>
        <w:t xml:space="preserve"> celkem</w:t>
      </w:r>
      <w:r w:rsidR="00702A9F">
        <w:rPr>
          <w:rFonts w:ascii="Tahoma" w:hAnsi="Tahoma" w:cs="Tahoma"/>
          <w:sz w:val="21"/>
          <w:szCs w:val="21"/>
        </w:rPr>
        <w:t xml:space="preserve"> </w:t>
      </w:r>
      <w:r w:rsidR="001E4A38">
        <w:rPr>
          <w:rFonts w:ascii="Tahoma" w:hAnsi="Tahoma" w:cs="Tahoma"/>
          <w:sz w:val="21"/>
          <w:szCs w:val="21"/>
        </w:rPr>
        <w:t>110</w:t>
      </w:r>
      <w:r w:rsidR="00AA75E7">
        <w:rPr>
          <w:rFonts w:ascii="Tahoma" w:hAnsi="Tahoma" w:cs="Tahoma"/>
          <w:sz w:val="21"/>
          <w:szCs w:val="21"/>
        </w:rPr>
        <w:t xml:space="preserve"> ks</w:t>
      </w:r>
      <w:r w:rsidR="001E4A38">
        <w:rPr>
          <w:rFonts w:ascii="Tahoma" w:hAnsi="Tahoma" w:cs="Tahoma"/>
          <w:sz w:val="21"/>
          <w:szCs w:val="21"/>
        </w:rPr>
        <w:t xml:space="preserve"> popelnic s barevně odlišeným víkem na </w:t>
      </w:r>
      <w:r w:rsidR="005003B0">
        <w:rPr>
          <w:rFonts w:ascii="Tahoma" w:hAnsi="Tahoma" w:cs="Tahoma"/>
          <w:sz w:val="21"/>
          <w:szCs w:val="21"/>
        </w:rPr>
        <w:t xml:space="preserve">použité </w:t>
      </w:r>
      <w:r w:rsidR="001E4A38">
        <w:rPr>
          <w:rFonts w:ascii="Tahoma" w:hAnsi="Tahoma" w:cs="Tahoma"/>
          <w:sz w:val="21"/>
          <w:szCs w:val="21"/>
        </w:rPr>
        <w:t>potravinářské oleje a tuky.</w:t>
      </w:r>
    </w:p>
    <w:p w14:paraId="465891F1" w14:textId="77777777" w:rsidR="001E4A38" w:rsidRDefault="001E4A38" w:rsidP="00375EB9">
      <w:pPr>
        <w:jc w:val="both"/>
        <w:rPr>
          <w:rFonts w:ascii="Tahoma" w:hAnsi="Tahoma" w:cs="Tahoma"/>
          <w:sz w:val="21"/>
          <w:szCs w:val="21"/>
        </w:rPr>
      </w:pPr>
    </w:p>
    <w:p w14:paraId="4EE395C7" w14:textId="7B8060FC" w:rsidR="0098644D" w:rsidRDefault="005C6E4D" w:rsidP="00375EB9">
      <w:pPr>
        <w:jc w:val="both"/>
        <w:rPr>
          <w:rFonts w:ascii="Tahoma" w:hAnsi="Tahoma" w:cs="Tahoma"/>
          <w:sz w:val="21"/>
          <w:szCs w:val="21"/>
        </w:rPr>
      </w:pPr>
      <w:r>
        <w:rPr>
          <w:rFonts w:ascii="Tahoma" w:hAnsi="Tahoma" w:cs="Tahoma"/>
          <w:sz w:val="21"/>
          <w:szCs w:val="21"/>
        </w:rPr>
        <w:t>V roce 202</w:t>
      </w:r>
      <w:r w:rsidR="00DF1982">
        <w:rPr>
          <w:rFonts w:ascii="Tahoma" w:hAnsi="Tahoma" w:cs="Tahoma"/>
          <w:sz w:val="21"/>
          <w:szCs w:val="21"/>
        </w:rPr>
        <w:t>3</w:t>
      </w:r>
      <w:r>
        <w:rPr>
          <w:rFonts w:ascii="Tahoma" w:hAnsi="Tahoma" w:cs="Tahoma"/>
          <w:sz w:val="21"/>
          <w:szCs w:val="21"/>
        </w:rPr>
        <w:t xml:space="preserve"> bylo svezeno celkem </w:t>
      </w:r>
      <w:r w:rsidR="00702A9F">
        <w:rPr>
          <w:rFonts w:ascii="Tahoma" w:hAnsi="Tahoma" w:cs="Tahoma"/>
          <w:sz w:val="21"/>
          <w:szCs w:val="21"/>
        </w:rPr>
        <w:t>12 471</w:t>
      </w:r>
      <w:r w:rsidR="005E4DF2">
        <w:rPr>
          <w:rFonts w:ascii="Tahoma" w:hAnsi="Tahoma" w:cs="Tahoma"/>
          <w:sz w:val="21"/>
          <w:szCs w:val="21"/>
        </w:rPr>
        <w:t xml:space="preserve"> </w:t>
      </w:r>
      <w:r w:rsidR="000F4176" w:rsidRPr="005E4DF2">
        <w:rPr>
          <w:rFonts w:ascii="Tahoma" w:hAnsi="Tahoma" w:cs="Tahoma"/>
          <w:sz w:val="21"/>
          <w:szCs w:val="21"/>
        </w:rPr>
        <w:t xml:space="preserve">kg </w:t>
      </w:r>
      <w:r w:rsidR="001E4A38" w:rsidRPr="005E4DF2">
        <w:rPr>
          <w:rFonts w:ascii="Tahoma" w:hAnsi="Tahoma" w:cs="Tahoma"/>
          <w:sz w:val="21"/>
          <w:szCs w:val="21"/>
        </w:rPr>
        <w:t>potravinářských</w:t>
      </w:r>
      <w:r w:rsidR="001E4A38">
        <w:rPr>
          <w:rFonts w:ascii="Tahoma" w:hAnsi="Tahoma" w:cs="Tahoma"/>
          <w:sz w:val="21"/>
          <w:szCs w:val="21"/>
        </w:rPr>
        <w:t xml:space="preserve"> olejů</w:t>
      </w:r>
      <w:r w:rsidR="000F4176">
        <w:rPr>
          <w:rFonts w:ascii="Tahoma" w:hAnsi="Tahoma" w:cs="Tahoma"/>
          <w:sz w:val="21"/>
          <w:szCs w:val="21"/>
        </w:rPr>
        <w:t xml:space="preserve"> a tuků.</w:t>
      </w:r>
    </w:p>
    <w:p w14:paraId="0BF5DB39" w14:textId="77777777" w:rsidR="0098644D" w:rsidRDefault="0098644D" w:rsidP="006C4840">
      <w:pPr>
        <w:rPr>
          <w:rFonts w:ascii="Tahoma" w:hAnsi="Tahoma" w:cs="Tahoma"/>
          <w:b/>
          <w:sz w:val="21"/>
          <w:szCs w:val="21"/>
        </w:rPr>
      </w:pPr>
    </w:p>
    <w:p w14:paraId="71E7CAB5" w14:textId="77777777" w:rsidR="00375EB9" w:rsidRDefault="00375EB9" w:rsidP="006C4840">
      <w:pPr>
        <w:rPr>
          <w:rFonts w:ascii="Tahoma" w:hAnsi="Tahoma" w:cs="Tahoma"/>
          <w:b/>
          <w:sz w:val="21"/>
          <w:szCs w:val="21"/>
        </w:rPr>
      </w:pPr>
    </w:p>
    <w:p w14:paraId="64587A03" w14:textId="77777777" w:rsidR="006C4840" w:rsidRPr="00D7549D" w:rsidRDefault="006C4840" w:rsidP="006C4840">
      <w:pPr>
        <w:rPr>
          <w:rFonts w:ascii="Tahoma" w:hAnsi="Tahoma" w:cs="Tahoma"/>
          <w:b/>
          <w:sz w:val="21"/>
          <w:szCs w:val="21"/>
        </w:rPr>
      </w:pPr>
      <w:r w:rsidRPr="00D7549D">
        <w:rPr>
          <w:rFonts w:ascii="Tahoma" w:hAnsi="Tahoma" w:cs="Tahoma"/>
          <w:b/>
          <w:sz w:val="21"/>
          <w:szCs w:val="21"/>
        </w:rPr>
        <w:t>Nebezpečné odpady</w:t>
      </w:r>
    </w:p>
    <w:p w14:paraId="314DB376" w14:textId="77777777" w:rsidR="006C4840" w:rsidRPr="00D7549D" w:rsidRDefault="006C4840" w:rsidP="006C4840">
      <w:pPr>
        <w:rPr>
          <w:rFonts w:ascii="Tahoma" w:hAnsi="Tahoma" w:cs="Tahoma"/>
          <w:b/>
          <w:sz w:val="21"/>
          <w:szCs w:val="21"/>
        </w:rPr>
      </w:pPr>
    </w:p>
    <w:p w14:paraId="0CEA7EB3" w14:textId="77777777" w:rsidR="006C4840" w:rsidRPr="00D7549D" w:rsidRDefault="006C4840" w:rsidP="006C4840">
      <w:pPr>
        <w:jc w:val="both"/>
        <w:rPr>
          <w:rFonts w:ascii="Tahoma" w:hAnsi="Tahoma" w:cs="Tahoma"/>
          <w:sz w:val="21"/>
          <w:szCs w:val="21"/>
        </w:rPr>
      </w:pPr>
      <w:r w:rsidRPr="00D7549D">
        <w:rPr>
          <w:rFonts w:ascii="Tahoma" w:hAnsi="Tahoma" w:cs="Tahoma"/>
          <w:sz w:val="21"/>
          <w:szCs w:val="21"/>
        </w:rPr>
        <w:t xml:space="preserve">Mezi nebezpečné odpady patří: léky, galvanické články </w:t>
      </w:r>
      <w:r>
        <w:rPr>
          <w:rFonts w:ascii="Tahoma" w:hAnsi="Tahoma" w:cs="Tahoma"/>
          <w:sz w:val="21"/>
          <w:szCs w:val="21"/>
        </w:rPr>
        <w:t>–</w:t>
      </w:r>
      <w:r w:rsidRPr="00D7549D">
        <w:rPr>
          <w:rFonts w:ascii="Tahoma" w:hAnsi="Tahoma" w:cs="Tahoma"/>
          <w:sz w:val="21"/>
          <w:szCs w:val="21"/>
        </w:rPr>
        <w:t xml:space="preserve"> baterie, zářivky, vysloužilé elektrospotřebiče – lednice, mrazničky, tiskárny, a podobně, dále oleje, laky nebo jimi znečištěné látky. Nebezpečné odpady nelze odkládat do kontejnerů (1</w:t>
      </w:r>
      <w:r w:rsidR="00AA75E7">
        <w:rPr>
          <w:rFonts w:ascii="Tahoma" w:hAnsi="Tahoma" w:cs="Tahoma"/>
          <w:sz w:val="21"/>
          <w:szCs w:val="21"/>
        </w:rPr>
        <w:t> </w:t>
      </w:r>
      <w:r w:rsidRPr="00D7549D">
        <w:rPr>
          <w:rFonts w:ascii="Tahoma" w:hAnsi="Tahoma" w:cs="Tahoma"/>
          <w:sz w:val="21"/>
          <w:szCs w:val="21"/>
        </w:rPr>
        <w:t>100</w:t>
      </w:r>
      <w:r w:rsidR="00AA75E7">
        <w:rPr>
          <w:rFonts w:ascii="Tahoma" w:hAnsi="Tahoma" w:cs="Tahoma"/>
          <w:sz w:val="21"/>
          <w:szCs w:val="21"/>
        </w:rPr>
        <w:t> </w:t>
      </w:r>
      <w:r w:rsidRPr="00D7549D">
        <w:rPr>
          <w:rFonts w:ascii="Tahoma" w:hAnsi="Tahoma" w:cs="Tahoma"/>
          <w:sz w:val="21"/>
          <w:szCs w:val="21"/>
        </w:rPr>
        <w:t>l) a popelnic (110 l), ani do velkoobjemových kontejnerů. Nesmí se odkládat ani k těmto nádobám. Nebezpečné odpady lze odložit zdarma ve sběrných dvorech nebo na jaře a na podzim na vybraných místech při sběru nebezpečných odpadů v místních částech města Frýdku</w:t>
      </w:r>
      <w:r w:rsidRPr="00D7549D">
        <w:rPr>
          <w:rFonts w:ascii="Tahoma" w:hAnsi="Tahoma" w:cs="Tahoma"/>
          <w:sz w:val="21"/>
          <w:szCs w:val="21"/>
        </w:rPr>
        <w:noBreakHyphen/>
        <w:t>Místku. Prošlé léky nebo baterie lze také zdarma odložit do nádob umístěných v lékárnách a vybraných obchodech.</w:t>
      </w:r>
    </w:p>
    <w:p w14:paraId="1B0B61C9" w14:textId="77777777" w:rsidR="006C4840" w:rsidRPr="00D7549D" w:rsidRDefault="006C4840" w:rsidP="006C4840">
      <w:pPr>
        <w:jc w:val="both"/>
        <w:rPr>
          <w:rFonts w:ascii="Tahoma" w:hAnsi="Tahoma" w:cs="Tahoma"/>
          <w:sz w:val="21"/>
          <w:szCs w:val="21"/>
        </w:rPr>
      </w:pPr>
    </w:p>
    <w:p w14:paraId="1EB31DCF" w14:textId="77777777" w:rsidR="006C4840" w:rsidRPr="00D7549D" w:rsidRDefault="005C6E4D" w:rsidP="006C4840">
      <w:pPr>
        <w:jc w:val="both"/>
        <w:rPr>
          <w:rFonts w:ascii="Tahoma" w:hAnsi="Tahoma" w:cs="Tahoma"/>
          <w:sz w:val="21"/>
          <w:szCs w:val="21"/>
        </w:rPr>
      </w:pPr>
      <w:r>
        <w:rPr>
          <w:rFonts w:ascii="Tahoma" w:hAnsi="Tahoma" w:cs="Tahoma"/>
          <w:sz w:val="21"/>
          <w:szCs w:val="21"/>
        </w:rPr>
        <w:t>V roce 202</w:t>
      </w:r>
      <w:r w:rsidR="00702A9F">
        <w:rPr>
          <w:rFonts w:ascii="Tahoma" w:hAnsi="Tahoma" w:cs="Tahoma"/>
          <w:sz w:val="21"/>
          <w:szCs w:val="21"/>
        </w:rPr>
        <w:t>3</w:t>
      </w:r>
      <w:r w:rsidR="006C4840" w:rsidRPr="00D7549D">
        <w:rPr>
          <w:rFonts w:ascii="Tahoma" w:hAnsi="Tahoma" w:cs="Tahoma"/>
          <w:sz w:val="21"/>
          <w:szCs w:val="21"/>
        </w:rPr>
        <w:t xml:space="preserve"> vyprodukovali občané města a statutární město Frýdek-Místek celkem </w:t>
      </w:r>
      <w:r w:rsidR="00702A9F">
        <w:rPr>
          <w:rFonts w:ascii="Tahoma" w:hAnsi="Tahoma" w:cs="Tahoma"/>
          <w:b/>
          <w:sz w:val="21"/>
          <w:szCs w:val="21"/>
        </w:rPr>
        <w:t>22</w:t>
      </w:r>
      <w:r w:rsidR="006C4840" w:rsidRPr="00D7549D">
        <w:rPr>
          <w:rFonts w:ascii="Tahoma" w:hAnsi="Tahoma" w:cs="Tahoma"/>
          <w:b/>
          <w:sz w:val="21"/>
          <w:szCs w:val="21"/>
        </w:rPr>
        <w:t xml:space="preserve"> tun </w:t>
      </w:r>
      <w:r w:rsidR="006C4840" w:rsidRPr="00D7549D">
        <w:rPr>
          <w:rFonts w:ascii="Tahoma" w:hAnsi="Tahoma" w:cs="Tahoma"/>
          <w:sz w:val="21"/>
          <w:szCs w:val="21"/>
        </w:rPr>
        <w:t>nebezpečného odpadu. Množství odevz</w:t>
      </w:r>
      <w:r w:rsidR="007946CE">
        <w:rPr>
          <w:rFonts w:ascii="Tahoma" w:hAnsi="Tahoma" w:cs="Tahoma"/>
          <w:sz w:val="21"/>
          <w:szCs w:val="21"/>
        </w:rPr>
        <w:t xml:space="preserve">daného nebezpečného odpadu </w:t>
      </w:r>
      <w:r w:rsidR="00702A9F">
        <w:rPr>
          <w:rFonts w:ascii="Tahoma" w:hAnsi="Tahoma" w:cs="Tahoma"/>
          <w:sz w:val="21"/>
          <w:szCs w:val="21"/>
        </w:rPr>
        <w:t>kles</w:t>
      </w:r>
      <w:r w:rsidR="006C4840" w:rsidRPr="00D7549D">
        <w:rPr>
          <w:rFonts w:ascii="Tahoma" w:hAnsi="Tahoma" w:cs="Tahoma"/>
          <w:sz w:val="21"/>
          <w:szCs w:val="21"/>
        </w:rPr>
        <w:t>lo oproti roku 20</w:t>
      </w:r>
      <w:r w:rsidR="00AF53E4">
        <w:rPr>
          <w:rFonts w:ascii="Tahoma" w:hAnsi="Tahoma" w:cs="Tahoma"/>
          <w:sz w:val="21"/>
          <w:szCs w:val="21"/>
        </w:rPr>
        <w:t>2</w:t>
      </w:r>
      <w:r w:rsidR="00702A9F">
        <w:rPr>
          <w:rFonts w:ascii="Tahoma" w:hAnsi="Tahoma" w:cs="Tahoma"/>
          <w:sz w:val="21"/>
          <w:szCs w:val="21"/>
        </w:rPr>
        <w:t>2</w:t>
      </w:r>
      <w:r w:rsidR="006C4840" w:rsidRPr="00D7549D">
        <w:rPr>
          <w:rFonts w:ascii="Tahoma" w:hAnsi="Tahoma" w:cs="Tahoma"/>
          <w:sz w:val="21"/>
          <w:szCs w:val="21"/>
        </w:rPr>
        <w:t xml:space="preserve"> o</w:t>
      </w:r>
      <w:r w:rsidR="006C4840">
        <w:rPr>
          <w:rFonts w:ascii="Tahoma" w:hAnsi="Tahoma" w:cs="Tahoma"/>
          <w:sz w:val="21"/>
          <w:szCs w:val="21"/>
        </w:rPr>
        <w:t> </w:t>
      </w:r>
      <w:r w:rsidR="00F04CAE">
        <w:rPr>
          <w:rFonts w:ascii="Tahoma" w:hAnsi="Tahoma" w:cs="Tahoma"/>
          <w:sz w:val="21"/>
          <w:szCs w:val="21"/>
        </w:rPr>
        <w:t>1</w:t>
      </w:r>
      <w:r w:rsidR="00702A9F">
        <w:rPr>
          <w:rFonts w:ascii="Tahoma" w:hAnsi="Tahoma" w:cs="Tahoma"/>
          <w:sz w:val="21"/>
          <w:szCs w:val="21"/>
        </w:rPr>
        <w:t>8</w:t>
      </w:r>
      <w:r w:rsidR="006C4840" w:rsidRPr="00D7549D">
        <w:rPr>
          <w:rFonts w:ascii="Tahoma" w:hAnsi="Tahoma" w:cs="Tahoma"/>
          <w:sz w:val="21"/>
          <w:szCs w:val="21"/>
        </w:rPr>
        <w:t xml:space="preserve"> tun. Vývoj množství nebez</w:t>
      </w:r>
      <w:r w:rsidR="00F04CAE">
        <w:rPr>
          <w:rFonts w:ascii="Tahoma" w:hAnsi="Tahoma" w:cs="Tahoma"/>
          <w:sz w:val="21"/>
          <w:szCs w:val="21"/>
        </w:rPr>
        <w:t>pečného odpadu v letech 2003–202</w:t>
      </w:r>
      <w:r w:rsidR="00702A9F">
        <w:rPr>
          <w:rFonts w:ascii="Tahoma" w:hAnsi="Tahoma" w:cs="Tahoma"/>
          <w:sz w:val="21"/>
          <w:szCs w:val="21"/>
        </w:rPr>
        <w:t>3</w:t>
      </w:r>
      <w:r w:rsidR="006C4840" w:rsidRPr="00D7549D">
        <w:rPr>
          <w:rFonts w:ascii="Tahoma" w:hAnsi="Tahoma" w:cs="Tahoma"/>
          <w:sz w:val="21"/>
          <w:szCs w:val="21"/>
        </w:rPr>
        <w:t xml:space="preserve"> znázorňuje graf č. </w:t>
      </w:r>
      <w:r w:rsidR="00901827">
        <w:rPr>
          <w:rFonts w:ascii="Tahoma" w:hAnsi="Tahoma" w:cs="Tahoma"/>
          <w:sz w:val="21"/>
          <w:szCs w:val="21"/>
        </w:rPr>
        <w:t>9</w:t>
      </w:r>
      <w:r w:rsidR="006C4840" w:rsidRPr="00D7549D">
        <w:rPr>
          <w:rFonts w:ascii="Tahoma" w:hAnsi="Tahoma" w:cs="Tahoma"/>
          <w:sz w:val="21"/>
          <w:szCs w:val="21"/>
        </w:rPr>
        <w:t>.</w:t>
      </w:r>
    </w:p>
    <w:p w14:paraId="588B541B" w14:textId="77777777" w:rsidR="006C4840" w:rsidRPr="00D7549D" w:rsidRDefault="006C4840" w:rsidP="006C4840">
      <w:pPr>
        <w:jc w:val="both"/>
        <w:rPr>
          <w:rFonts w:ascii="Tahoma" w:hAnsi="Tahoma" w:cs="Tahoma"/>
          <w:sz w:val="21"/>
          <w:szCs w:val="21"/>
        </w:rPr>
      </w:pPr>
    </w:p>
    <w:p w14:paraId="74267BB4" w14:textId="77777777" w:rsidR="006C4840" w:rsidRPr="00D7549D" w:rsidRDefault="00F04CAE" w:rsidP="006C4840">
      <w:pPr>
        <w:pStyle w:val="Titulek"/>
        <w:keepNext/>
        <w:jc w:val="both"/>
        <w:rPr>
          <w:rFonts w:ascii="Tahoma" w:hAnsi="Tahoma" w:cs="Tahoma"/>
          <w:color w:val="auto"/>
          <w:sz w:val="21"/>
          <w:szCs w:val="21"/>
        </w:rPr>
      </w:pPr>
      <w:r>
        <w:rPr>
          <w:rFonts w:ascii="Tahoma" w:hAnsi="Tahoma" w:cs="Tahoma"/>
          <w:color w:val="auto"/>
          <w:sz w:val="21"/>
          <w:szCs w:val="21"/>
        </w:rPr>
        <w:lastRenderedPageBreak/>
        <w:t xml:space="preserve">Graf č. </w:t>
      </w:r>
      <w:r w:rsidR="00901827">
        <w:rPr>
          <w:rFonts w:ascii="Tahoma" w:hAnsi="Tahoma" w:cs="Tahoma"/>
          <w:color w:val="auto"/>
          <w:sz w:val="21"/>
          <w:szCs w:val="21"/>
        </w:rPr>
        <w:t>9</w:t>
      </w:r>
      <w:r w:rsidR="006C4840" w:rsidRPr="00D7549D">
        <w:rPr>
          <w:rFonts w:ascii="Tahoma" w:hAnsi="Tahoma" w:cs="Tahoma"/>
          <w:color w:val="auto"/>
          <w:sz w:val="21"/>
          <w:szCs w:val="21"/>
        </w:rPr>
        <w:t>: Vývoj množství nebezpečného o</w:t>
      </w:r>
      <w:r>
        <w:rPr>
          <w:rFonts w:ascii="Tahoma" w:hAnsi="Tahoma" w:cs="Tahoma"/>
          <w:color w:val="auto"/>
          <w:sz w:val="21"/>
          <w:szCs w:val="21"/>
        </w:rPr>
        <w:t>dpadu v tunách v letech 2003–202</w:t>
      </w:r>
      <w:r w:rsidR="00702A9F">
        <w:rPr>
          <w:rFonts w:ascii="Tahoma" w:hAnsi="Tahoma" w:cs="Tahoma"/>
          <w:color w:val="auto"/>
          <w:sz w:val="21"/>
          <w:szCs w:val="21"/>
        </w:rPr>
        <w:t>3</w:t>
      </w:r>
    </w:p>
    <w:p w14:paraId="036497D0" w14:textId="77777777" w:rsidR="006C4840" w:rsidRPr="00D7549D" w:rsidRDefault="00702A9F" w:rsidP="006C4840">
      <w:pPr>
        <w:jc w:val="both"/>
        <w:rPr>
          <w:rFonts w:ascii="Tahoma" w:hAnsi="Tahoma" w:cs="Tahoma"/>
          <w:color w:val="FF0000"/>
          <w:sz w:val="21"/>
          <w:szCs w:val="21"/>
        </w:rPr>
      </w:pPr>
      <w:r>
        <w:rPr>
          <w:noProof/>
        </w:rPr>
        <w:drawing>
          <wp:inline distT="0" distB="0" distL="0" distR="0" wp14:anchorId="5BC3BBF2" wp14:editId="7F0E2B52">
            <wp:extent cx="5759450" cy="3642995"/>
            <wp:effectExtent l="0" t="0" r="0" b="0"/>
            <wp:docPr id="1171699394" name="Graf 1">
              <a:extLst xmlns:a="http://schemas.openxmlformats.org/drawingml/2006/main">
                <a:ext uri="{FF2B5EF4-FFF2-40B4-BE49-F238E27FC236}">
                  <a16:creationId xmlns:a16="http://schemas.microsoft.com/office/drawing/2014/main" id="{00000000-0008-0000-04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520BDEF" w14:textId="77777777" w:rsidR="00375EB9" w:rsidRDefault="00375EB9" w:rsidP="006C4840">
      <w:pPr>
        <w:rPr>
          <w:rFonts w:ascii="Tahoma" w:hAnsi="Tahoma" w:cs="Tahoma"/>
          <w:b/>
          <w:sz w:val="21"/>
          <w:szCs w:val="21"/>
        </w:rPr>
      </w:pPr>
    </w:p>
    <w:p w14:paraId="14235C95" w14:textId="77777777" w:rsidR="006C4840" w:rsidRPr="00D7549D" w:rsidRDefault="006C4840" w:rsidP="006C4840">
      <w:pPr>
        <w:rPr>
          <w:rFonts w:ascii="Tahoma" w:hAnsi="Tahoma" w:cs="Tahoma"/>
          <w:b/>
          <w:sz w:val="21"/>
          <w:szCs w:val="21"/>
        </w:rPr>
      </w:pPr>
      <w:r w:rsidRPr="00D7549D">
        <w:rPr>
          <w:rFonts w:ascii="Tahoma" w:hAnsi="Tahoma" w:cs="Tahoma"/>
          <w:b/>
          <w:sz w:val="21"/>
          <w:szCs w:val="21"/>
        </w:rPr>
        <w:t>Hrazení nákladů na odpadové hospodářství v roce 20</w:t>
      </w:r>
      <w:r w:rsidR="00F04CAE">
        <w:rPr>
          <w:rFonts w:ascii="Tahoma" w:hAnsi="Tahoma" w:cs="Tahoma"/>
          <w:b/>
          <w:sz w:val="21"/>
          <w:szCs w:val="21"/>
        </w:rPr>
        <w:t>2</w:t>
      </w:r>
      <w:r w:rsidR="00702A9F">
        <w:rPr>
          <w:rFonts w:ascii="Tahoma" w:hAnsi="Tahoma" w:cs="Tahoma"/>
          <w:b/>
          <w:sz w:val="21"/>
          <w:szCs w:val="21"/>
        </w:rPr>
        <w:t>3</w:t>
      </w:r>
    </w:p>
    <w:p w14:paraId="2BA3830B" w14:textId="77777777" w:rsidR="006C4840" w:rsidRPr="00D7549D" w:rsidRDefault="006C4840" w:rsidP="006C4840">
      <w:pPr>
        <w:jc w:val="both"/>
        <w:rPr>
          <w:rFonts w:ascii="Tahoma" w:hAnsi="Tahoma" w:cs="Tahoma"/>
          <w:sz w:val="21"/>
          <w:szCs w:val="21"/>
        </w:rPr>
      </w:pPr>
    </w:p>
    <w:p w14:paraId="3AE6F857" w14:textId="77777777" w:rsidR="006C4840" w:rsidRPr="00D7549D" w:rsidRDefault="006C4840" w:rsidP="006C4840">
      <w:pPr>
        <w:jc w:val="both"/>
        <w:rPr>
          <w:rFonts w:ascii="Tahoma" w:hAnsi="Tahoma" w:cs="Tahoma"/>
          <w:sz w:val="21"/>
          <w:szCs w:val="21"/>
        </w:rPr>
      </w:pPr>
      <w:r w:rsidRPr="00D7549D">
        <w:rPr>
          <w:rFonts w:ascii="Tahoma" w:hAnsi="Tahoma" w:cs="Tahoma"/>
          <w:sz w:val="21"/>
          <w:szCs w:val="21"/>
        </w:rPr>
        <w:t>V roce 20</w:t>
      </w:r>
      <w:r w:rsidR="00F04CAE">
        <w:rPr>
          <w:rFonts w:ascii="Tahoma" w:hAnsi="Tahoma" w:cs="Tahoma"/>
          <w:sz w:val="21"/>
          <w:szCs w:val="21"/>
        </w:rPr>
        <w:t>2</w:t>
      </w:r>
      <w:r w:rsidR="00901827">
        <w:rPr>
          <w:rFonts w:ascii="Tahoma" w:hAnsi="Tahoma" w:cs="Tahoma"/>
          <w:sz w:val="21"/>
          <w:szCs w:val="21"/>
        </w:rPr>
        <w:t>3</w:t>
      </w:r>
      <w:r w:rsidRPr="00D7549D">
        <w:rPr>
          <w:rFonts w:ascii="Tahoma" w:hAnsi="Tahoma" w:cs="Tahoma"/>
          <w:sz w:val="21"/>
          <w:szCs w:val="21"/>
        </w:rPr>
        <w:t xml:space="preserve"> činily náklady na sběr, svoz a zpracování či odstranění komunálních odpadů vzniklých na území</w:t>
      </w:r>
      <w:r>
        <w:rPr>
          <w:rFonts w:ascii="Tahoma" w:hAnsi="Tahoma" w:cs="Tahoma"/>
          <w:sz w:val="21"/>
          <w:szCs w:val="21"/>
        </w:rPr>
        <w:t xml:space="preserve"> statutárního </w:t>
      </w:r>
      <w:r w:rsidRPr="00D7549D">
        <w:rPr>
          <w:rFonts w:ascii="Tahoma" w:hAnsi="Tahoma" w:cs="Tahoma"/>
          <w:sz w:val="21"/>
          <w:szCs w:val="21"/>
        </w:rPr>
        <w:t>města Frýdk</w:t>
      </w:r>
      <w:r>
        <w:rPr>
          <w:rFonts w:ascii="Tahoma" w:hAnsi="Tahoma" w:cs="Tahoma"/>
          <w:sz w:val="21"/>
          <w:szCs w:val="21"/>
        </w:rPr>
        <w:t>u</w:t>
      </w:r>
      <w:r w:rsidRPr="00D7549D">
        <w:rPr>
          <w:rFonts w:ascii="Tahoma" w:hAnsi="Tahoma" w:cs="Tahoma"/>
          <w:sz w:val="21"/>
          <w:szCs w:val="21"/>
        </w:rPr>
        <w:t>-Místk</w:t>
      </w:r>
      <w:r>
        <w:rPr>
          <w:rFonts w:ascii="Tahoma" w:hAnsi="Tahoma" w:cs="Tahoma"/>
          <w:sz w:val="21"/>
          <w:szCs w:val="21"/>
        </w:rPr>
        <w:t>u</w:t>
      </w:r>
      <w:r w:rsidRPr="00D7549D">
        <w:rPr>
          <w:rFonts w:ascii="Tahoma" w:hAnsi="Tahoma" w:cs="Tahoma"/>
          <w:sz w:val="21"/>
          <w:szCs w:val="21"/>
        </w:rPr>
        <w:t xml:space="preserve"> celkem </w:t>
      </w:r>
      <w:r w:rsidR="00901827">
        <w:rPr>
          <w:rFonts w:ascii="Tahoma" w:hAnsi="Tahoma" w:cs="Tahoma"/>
          <w:b/>
          <w:sz w:val="21"/>
          <w:szCs w:val="21"/>
        </w:rPr>
        <w:t>60</w:t>
      </w:r>
      <w:r w:rsidRPr="00D7549D">
        <w:rPr>
          <w:rFonts w:ascii="Tahoma" w:hAnsi="Tahoma" w:cs="Tahoma"/>
          <w:b/>
          <w:sz w:val="21"/>
          <w:szCs w:val="21"/>
        </w:rPr>
        <w:t> </w:t>
      </w:r>
      <w:r w:rsidR="00901827">
        <w:rPr>
          <w:rFonts w:ascii="Tahoma" w:hAnsi="Tahoma" w:cs="Tahoma"/>
          <w:b/>
          <w:sz w:val="21"/>
          <w:szCs w:val="21"/>
        </w:rPr>
        <w:t>70</w:t>
      </w:r>
      <w:r w:rsidR="00436B56">
        <w:rPr>
          <w:rFonts w:ascii="Tahoma" w:hAnsi="Tahoma" w:cs="Tahoma"/>
          <w:b/>
          <w:sz w:val="21"/>
          <w:szCs w:val="21"/>
        </w:rPr>
        <w:t>3</w:t>
      </w:r>
      <w:r w:rsidRPr="00D7549D">
        <w:rPr>
          <w:rFonts w:ascii="Tahoma" w:hAnsi="Tahoma" w:cs="Tahoma"/>
          <w:b/>
          <w:sz w:val="21"/>
          <w:szCs w:val="21"/>
        </w:rPr>
        <w:t> </w:t>
      </w:r>
      <w:r w:rsidR="00901827">
        <w:rPr>
          <w:rFonts w:ascii="Tahoma" w:hAnsi="Tahoma" w:cs="Tahoma"/>
          <w:b/>
          <w:sz w:val="21"/>
          <w:szCs w:val="21"/>
        </w:rPr>
        <w:t>111</w:t>
      </w:r>
      <w:r w:rsidRPr="00D7549D">
        <w:rPr>
          <w:rFonts w:ascii="Tahoma" w:hAnsi="Tahoma" w:cs="Tahoma"/>
          <w:b/>
          <w:sz w:val="21"/>
          <w:szCs w:val="21"/>
        </w:rPr>
        <w:t xml:space="preserve"> Kč</w:t>
      </w:r>
      <w:r w:rsidRPr="00D7549D">
        <w:rPr>
          <w:rFonts w:ascii="Tahoma" w:hAnsi="Tahoma" w:cs="Tahoma"/>
          <w:sz w:val="21"/>
          <w:szCs w:val="21"/>
        </w:rPr>
        <w:t xml:space="preserve">. Tyto náklady byly hrazeny z vybraných poplatků za sběr a svoz komunálních odpadů od občanů </w:t>
      </w:r>
      <w:r>
        <w:rPr>
          <w:rFonts w:ascii="Tahoma" w:hAnsi="Tahoma" w:cs="Tahoma"/>
          <w:sz w:val="21"/>
          <w:szCs w:val="21"/>
        </w:rPr>
        <w:t xml:space="preserve">statutárního </w:t>
      </w:r>
      <w:r w:rsidRPr="00D7549D">
        <w:rPr>
          <w:rFonts w:ascii="Tahoma" w:hAnsi="Tahoma" w:cs="Tahoma"/>
          <w:sz w:val="21"/>
          <w:szCs w:val="21"/>
        </w:rPr>
        <w:t>města Frýdek-Místek a zbytek byl hrazen z rozpočtu statutárního města Frýdek-Místek.</w:t>
      </w:r>
    </w:p>
    <w:p w14:paraId="49D1F60D" w14:textId="77777777" w:rsidR="006C4840" w:rsidRPr="00D7549D" w:rsidRDefault="006C4840" w:rsidP="006C4840">
      <w:pPr>
        <w:jc w:val="both"/>
        <w:rPr>
          <w:rFonts w:ascii="Tahoma" w:hAnsi="Tahoma" w:cs="Tahoma"/>
          <w:sz w:val="21"/>
          <w:szCs w:val="21"/>
        </w:rPr>
      </w:pPr>
    </w:p>
    <w:p w14:paraId="16D91F66" w14:textId="77777777" w:rsidR="006C4840" w:rsidRPr="00D7549D" w:rsidRDefault="006C4840" w:rsidP="006C4840">
      <w:pPr>
        <w:jc w:val="both"/>
        <w:rPr>
          <w:rFonts w:ascii="Tahoma" w:hAnsi="Tahoma" w:cs="Tahoma"/>
          <w:b/>
          <w:sz w:val="21"/>
          <w:szCs w:val="21"/>
        </w:rPr>
      </w:pPr>
      <w:r w:rsidRPr="00D7549D">
        <w:rPr>
          <w:rFonts w:ascii="Tahoma" w:hAnsi="Tahoma" w:cs="Tahoma"/>
          <w:b/>
          <w:sz w:val="21"/>
          <w:szCs w:val="21"/>
        </w:rPr>
        <w:t>Graf č. 1</w:t>
      </w:r>
      <w:r w:rsidR="00901827">
        <w:rPr>
          <w:rFonts w:ascii="Tahoma" w:hAnsi="Tahoma" w:cs="Tahoma"/>
          <w:b/>
          <w:sz w:val="21"/>
          <w:szCs w:val="21"/>
        </w:rPr>
        <w:t>0</w:t>
      </w:r>
      <w:r w:rsidRPr="00D7549D">
        <w:rPr>
          <w:rFonts w:ascii="Tahoma" w:hAnsi="Tahoma" w:cs="Tahoma"/>
          <w:b/>
          <w:sz w:val="21"/>
          <w:szCs w:val="21"/>
        </w:rPr>
        <w:t>: Hrazení nákladů na odpadové hospodářství v roce 20</w:t>
      </w:r>
      <w:r w:rsidR="00F04CAE">
        <w:rPr>
          <w:rFonts w:ascii="Tahoma" w:hAnsi="Tahoma" w:cs="Tahoma"/>
          <w:b/>
          <w:sz w:val="21"/>
          <w:szCs w:val="21"/>
        </w:rPr>
        <w:t>2</w:t>
      </w:r>
      <w:r w:rsidR="00901827">
        <w:rPr>
          <w:rFonts w:ascii="Tahoma" w:hAnsi="Tahoma" w:cs="Tahoma"/>
          <w:b/>
          <w:sz w:val="21"/>
          <w:szCs w:val="21"/>
        </w:rPr>
        <w:t>3</w:t>
      </w:r>
    </w:p>
    <w:p w14:paraId="22965B42" w14:textId="77777777" w:rsidR="006C4840" w:rsidRPr="00D7549D" w:rsidRDefault="006C4840" w:rsidP="006C4840">
      <w:pPr>
        <w:jc w:val="both"/>
        <w:rPr>
          <w:rFonts w:ascii="Tahoma" w:hAnsi="Tahoma" w:cs="Tahoma"/>
          <w:b/>
          <w:sz w:val="21"/>
          <w:szCs w:val="21"/>
        </w:rPr>
      </w:pPr>
    </w:p>
    <w:p w14:paraId="7D37A639" w14:textId="77777777" w:rsidR="006C4840" w:rsidRPr="00D7549D" w:rsidRDefault="00901827" w:rsidP="006C4840">
      <w:pPr>
        <w:jc w:val="both"/>
        <w:rPr>
          <w:rFonts w:ascii="Tahoma" w:hAnsi="Tahoma" w:cs="Tahoma"/>
          <w:b/>
          <w:sz w:val="21"/>
          <w:szCs w:val="21"/>
        </w:rPr>
      </w:pPr>
      <w:r>
        <w:rPr>
          <w:noProof/>
        </w:rPr>
        <w:drawing>
          <wp:inline distT="0" distB="0" distL="0" distR="0" wp14:anchorId="5DA0E505" wp14:editId="007ED0F4">
            <wp:extent cx="5819775" cy="4209415"/>
            <wp:effectExtent l="0" t="0" r="0" b="635"/>
            <wp:docPr id="872310339" name="Graf 1">
              <a:extLst xmlns:a="http://schemas.openxmlformats.org/drawingml/2006/main">
                <a:ext uri="{FF2B5EF4-FFF2-40B4-BE49-F238E27FC236}">
                  <a16:creationId xmlns:a16="http://schemas.microsoft.com/office/drawing/2014/main" id="{00000000-0008-0000-04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AF0E233" w14:textId="77777777" w:rsidR="00B77969" w:rsidRDefault="00B77969" w:rsidP="00B77969">
      <w:pPr>
        <w:spacing w:after="120"/>
        <w:rPr>
          <w:rFonts w:ascii="Tahoma" w:hAnsi="Tahoma" w:cs="Tahoma"/>
          <w:sz w:val="21"/>
          <w:szCs w:val="21"/>
        </w:rPr>
      </w:pPr>
    </w:p>
    <w:sectPr w:rsidR="00B77969" w:rsidSect="00B569BD">
      <w:headerReference w:type="first" r:id="rId17"/>
      <w:footerReference w:type="first" r:id="rId18"/>
      <w:pgSz w:w="11906" w:h="16838"/>
      <w:pgMar w:top="709" w:right="1418" w:bottom="284" w:left="1418"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0DB0F2" w14:textId="77777777" w:rsidR="006B32A2" w:rsidRDefault="006B32A2" w:rsidP="0010547F">
      <w:r>
        <w:separator/>
      </w:r>
    </w:p>
  </w:endnote>
  <w:endnote w:type="continuationSeparator" w:id="0">
    <w:p w14:paraId="56734C92" w14:textId="77777777" w:rsidR="006B32A2" w:rsidRDefault="006B32A2" w:rsidP="00105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24629F" w14:textId="77777777" w:rsidR="00F81DA4" w:rsidRDefault="00F81DA4">
    <w:pPr>
      <w:pStyle w:val="Zpat"/>
    </w:pPr>
    <w:r>
      <w:rPr>
        <w:noProof/>
      </w:rPr>
      <w:drawing>
        <wp:anchor distT="0" distB="0" distL="114300" distR="114300" simplePos="0" relativeHeight="251660288" behindDoc="1" locked="0" layoutInCell="1" allowOverlap="1" wp14:anchorId="02E6B4E0" wp14:editId="67B5A57A">
          <wp:simplePos x="0" y="0"/>
          <wp:positionH relativeFrom="column">
            <wp:posOffset>0</wp:posOffset>
          </wp:positionH>
          <wp:positionV relativeFrom="paragraph">
            <wp:posOffset>167005</wp:posOffset>
          </wp:positionV>
          <wp:extent cx="5753100" cy="451485"/>
          <wp:effectExtent l="0" t="0" r="0" b="5715"/>
          <wp:wrapTight wrapText="bothSides">
            <wp:wrapPolygon edited="0">
              <wp:start x="0" y="0"/>
              <wp:lineTo x="0" y="20962"/>
              <wp:lineTo x="21528" y="20962"/>
              <wp:lineTo x="21528" y="0"/>
              <wp:lineTo x="0" y="0"/>
            </wp:wrapPolygon>
          </wp:wrapTight>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53100" cy="4514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CFA994" w14:textId="77777777" w:rsidR="006B32A2" w:rsidRDefault="006B32A2" w:rsidP="0010547F">
      <w:r>
        <w:separator/>
      </w:r>
    </w:p>
  </w:footnote>
  <w:footnote w:type="continuationSeparator" w:id="0">
    <w:p w14:paraId="29F807AB" w14:textId="77777777" w:rsidR="006B32A2" w:rsidRDefault="006B32A2" w:rsidP="001054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640BE" w14:textId="77777777" w:rsidR="00F81DA4" w:rsidRDefault="00F81DA4">
    <w:pPr>
      <w:pStyle w:val="Zhlav"/>
    </w:pPr>
    <w:r>
      <w:object w:dxaOrig="3737" w:dyaOrig="404" w14:anchorId="5A18C2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75pt;height:19.5pt">
          <v:imagedata r:id="rId1" o:title=""/>
        </v:shape>
        <o:OLEObject Type="Embed" ProgID="CorelDraw.Graphic.18" ShapeID="_x0000_i1025" DrawAspect="Content" ObjectID="_1778384944"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DE775BA"/>
    <w:multiLevelType w:val="multilevel"/>
    <w:tmpl w:val="70AA936A"/>
    <w:lvl w:ilvl="0">
      <w:start w:val="1"/>
      <w:numFmt w:val="bullet"/>
      <w:lvlText w:val=""/>
      <w:lvlJc w:val="left"/>
      <w:pPr>
        <w:tabs>
          <w:tab w:val="num" w:pos="6881"/>
        </w:tabs>
        <w:ind w:left="6881"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77D14AE"/>
    <w:multiLevelType w:val="multilevel"/>
    <w:tmpl w:val="06E03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F72560"/>
    <w:multiLevelType w:val="multilevel"/>
    <w:tmpl w:val="0728D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9B5140"/>
    <w:multiLevelType w:val="multilevel"/>
    <w:tmpl w:val="B30EA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7878634">
    <w:abstractNumId w:val="2"/>
  </w:num>
  <w:num w:numId="2" w16cid:durableId="729377894">
    <w:abstractNumId w:val="1"/>
  </w:num>
  <w:num w:numId="3" w16cid:durableId="2090499910">
    <w:abstractNumId w:val="3"/>
  </w:num>
  <w:num w:numId="4" w16cid:durableId="20226646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47F"/>
    <w:rsid w:val="00044620"/>
    <w:rsid w:val="00046641"/>
    <w:rsid w:val="000A2634"/>
    <w:rsid w:val="000B36BA"/>
    <w:rsid w:val="000C1E24"/>
    <w:rsid w:val="000C3799"/>
    <w:rsid w:val="000F4176"/>
    <w:rsid w:val="0010547F"/>
    <w:rsid w:val="00105838"/>
    <w:rsid w:val="001A4811"/>
    <w:rsid w:val="001B27FE"/>
    <w:rsid w:val="001C0ACB"/>
    <w:rsid w:val="001D665A"/>
    <w:rsid w:val="001E4A38"/>
    <w:rsid w:val="00226514"/>
    <w:rsid w:val="00232FEE"/>
    <w:rsid w:val="00266C27"/>
    <w:rsid w:val="00296AA5"/>
    <w:rsid w:val="002B4D07"/>
    <w:rsid w:val="002E79D1"/>
    <w:rsid w:val="00312002"/>
    <w:rsid w:val="003124BA"/>
    <w:rsid w:val="00313013"/>
    <w:rsid w:val="003152C4"/>
    <w:rsid w:val="00320564"/>
    <w:rsid w:val="00330926"/>
    <w:rsid w:val="00333691"/>
    <w:rsid w:val="00350FE2"/>
    <w:rsid w:val="003659D7"/>
    <w:rsid w:val="00375EB9"/>
    <w:rsid w:val="00387EEA"/>
    <w:rsid w:val="003968B8"/>
    <w:rsid w:val="003F04D3"/>
    <w:rsid w:val="003F3105"/>
    <w:rsid w:val="00401341"/>
    <w:rsid w:val="004043B3"/>
    <w:rsid w:val="00436B56"/>
    <w:rsid w:val="0047399F"/>
    <w:rsid w:val="00474509"/>
    <w:rsid w:val="00486616"/>
    <w:rsid w:val="004950B2"/>
    <w:rsid w:val="0049565E"/>
    <w:rsid w:val="004A4E71"/>
    <w:rsid w:val="004C4869"/>
    <w:rsid w:val="004E1F78"/>
    <w:rsid w:val="005003B0"/>
    <w:rsid w:val="00532724"/>
    <w:rsid w:val="005412EC"/>
    <w:rsid w:val="00551375"/>
    <w:rsid w:val="00555CB7"/>
    <w:rsid w:val="00586704"/>
    <w:rsid w:val="005C6E4D"/>
    <w:rsid w:val="005E4DF2"/>
    <w:rsid w:val="005E618C"/>
    <w:rsid w:val="005F036C"/>
    <w:rsid w:val="00604C8F"/>
    <w:rsid w:val="00625696"/>
    <w:rsid w:val="00636CCF"/>
    <w:rsid w:val="00642079"/>
    <w:rsid w:val="00696F4F"/>
    <w:rsid w:val="006B32A2"/>
    <w:rsid w:val="006B78FF"/>
    <w:rsid w:val="006C3C2F"/>
    <w:rsid w:val="006C4840"/>
    <w:rsid w:val="006D530A"/>
    <w:rsid w:val="006F1578"/>
    <w:rsid w:val="006F23F6"/>
    <w:rsid w:val="006F2D3A"/>
    <w:rsid w:val="007003CB"/>
    <w:rsid w:val="00700522"/>
    <w:rsid w:val="00702A9F"/>
    <w:rsid w:val="00721782"/>
    <w:rsid w:val="00722D5A"/>
    <w:rsid w:val="00724B7D"/>
    <w:rsid w:val="00736CF6"/>
    <w:rsid w:val="00744FD1"/>
    <w:rsid w:val="007559E6"/>
    <w:rsid w:val="00762258"/>
    <w:rsid w:val="00763FAD"/>
    <w:rsid w:val="00775C2E"/>
    <w:rsid w:val="00791B55"/>
    <w:rsid w:val="007946CE"/>
    <w:rsid w:val="0079638F"/>
    <w:rsid w:val="00796F3A"/>
    <w:rsid w:val="007A1697"/>
    <w:rsid w:val="007C4CB4"/>
    <w:rsid w:val="007C5FCB"/>
    <w:rsid w:val="007E7057"/>
    <w:rsid w:val="007F389C"/>
    <w:rsid w:val="007F7E3D"/>
    <w:rsid w:val="00801A94"/>
    <w:rsid w:val="008074C1"/>
    <w:rsid w:val="0088127B"/>
    <w:rsid w:val="008C12A6"/>
    <w:rsid w:val="008C51E6"/>
    <w:rsid w:val="008D17D5"/>
    <w:rsid w:val="008F25F4"/>
    <w:rsid w:val="00901827"/>
    <w:rsid w:val="00902E28"/>
    <w:rsid w:val="00912A64"/>
    <w:rsid w:val="00920901"/>
    <w:rsid w:val="00940F3B"/>
    <w:rsid w:val="00965648"/>
    <w:rsid w:val="00970158"/>
    <w:rsid w:val="0098644D"/>
    <w:rsid w:val="00987D5D"/>
    <w:rsid w:val="00990729"/>
    <w:rsid w:val="009B0FE3"/>
    <w:rsid w:val="009C40BC"/>
    <w:rsid w:val="00A05CE5"/>
    <w:rsid w:val="00A155EF"/>
    <w:rsid w:val="00A23D7A"/>
    <w:rsid w:val="00A34ABD"/>
    <w:rsid w:val="00A8307A"/>
    <w:rsid w:val="00A96CA0"/>
    <w:rsid w:val="00AA75E7"/>
    <w:rsid w:val="00AD07FA"/>
    <w:rsid w:val="00AE411D"/>
    <w:rsid w:val="00AF53E4"/>
    <w:rsid w:val="00B1297F"/>
    <w:rsid w:val="00B424CD"/>
    <w:rsid w:val="00B5333D"/>
    <w:rsid w:val="00B569BD"/>
    <w:rsid w:val="00B65733"/>
    <w:rsid w:val="00B734F2"/>
    <w:rsid w:val="00B77969"/>
    <w:rsid w:val="00B834F3"/>
    <w:rsid w:val="00B92440"/>
    <w:rsid w:val="00BC1785"/>
    <w:rsid w:val="00BF760E"/>
    <w:rsid w:val="00C052D9"/>
    <w:rsid w:val="00C07B28"/>
    <w:rsid w:val="00C12F79"/>
    <w:rsid w:val="00C163E5"/>
    <w:rsid w:val="00C20842"/>
    <w:rsid w:val="00C24A94"/>
    <w:rsid w:val="00C27407"/>
    <w:rsid w:val="00C412CA"/>
    <w:rsid w:val="00C67945"/>
    <w:rsid w:val="00CB12BA"/>
    <w:rsid w:val="00CE01A3"/>
    <w:rsid w:val="00CF3C62"/>
    <w:rsid w:val="00D4616B"/>
    <w:rsid w:val="00D52BE9"/>
    <w:rsid w:val="00D9029F"/>
    <w:rsid w:val="00DD6822"/>
    <w:rsid w:val="00DF1982"/>
    <w:rsid w:val="00E2296B"/>
    <w:rsid w:val="00E71737"/>
    <w:rsid w:val="00EA7DE5"/>
    <w:rsid w:val="00EC5DC8"/>
    <w:rsid w:val="00EF760C"/>
    <w:rsid w:val="00F04CAE"/>
    <w:rsid w:val="00F066AD"/>
    <w:rsid w:val="00F172D3"/>
    <w:rsid w:val="00F43AED"/>
    <w:rsid w:val="00F450E5"/>
    <w:rsid w:val="00F55085"/>
    <w:rsid w:val="00F64EF8"/>
    <w:rsid w:val="00F673A5"/>
    <w:rsid w:val="00F73295"/>
    <w:rsid w:val="00F81DA4"/>
    <w:rsid w:val="00F8261F"/>
    <w:rsid w:val="00FB34B6"/>
    <w:rsid w:val="00FF6FA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14:docId w14:val="7BDEB8A7"/>
  <w15:chartTrackingRefBased/>
  <w15:docId w15:val="{9D479791-38D4-40D5-ABB4-9F2C4342D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C4840"/>
    <w:pPr>
      <w:spacing w:after="0" w:line="240" w:lineRule="auto"/>
    </w:pPr>
    <w:rPr>
      <w:rFonts w:ascii="Times New Roman" w:eastAsia="Times New Roman" w:hAnsi="Times New Roman" w:cs="Times New Roman"/>
      <w:sz w:val="24"/>
      <w:szCs w:val="24"/>
      <w:lang w:eastAsia="cs-CZ"/>
    </w:rPr>
  </w:style>
  <w:style w:type="paragraph" w:styleId="Nadpis2">
    <w:name w:val="heading 2"/>
    <w:basedOn w:val="Normln"/>
    <w:next w:val="Normln"/>
    <w:link w:val="Nadpis2Char"/>
    <w:qFormat/>
    <w:rsid w:val="006C4840"/>
    <w:pPr>
      <w:keepNext/>
      <w:spacing w:before="240" w:after="60"/>
      <w:outlineLvl w:val="1"/>
    </w:pPr>
    <w:rPr>
      <w:rFonts w:ascii="Arial" w:hAnsi="Arial" w:cs="Arial"/>
      <w:b/>
      <w:bCs/>
      <w:i/>
      <w:iCs/>
      <w:sz w:val="28"/>
      <w:szCs w:val="28"/>
    </w:rPr>
  </w:style>
  <w:style w:type="paragraph" w:styleId="Nadpis4">
    <w:name w:val="heading 4"/>
    <w:basedOn w:val="Normln"/>
    <w:link w:val="Nadpis4Char"/>
    <w:qFormat/>
    <w:rsid w:val="006C4840"/>
    <w:pPr>
      <w:spacing w:before="100" w:beforeAutospacing="1" w:after="100" w:afterAutospacing="1"/>
      <w:outlineLvl w:val="3"/>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0547F"/>
    <w:pPr>
      <w:tabs>
        <w:tab w:val="center" w:pos="4536"/>
        <w:tab w:val="right" w:pos="9072"/>
      </w:tabs>
    </w:pPr>
  </w:style>
  <w:style w:type="character" w:customStyle="1" w:styleId="ZhlavChar">
    <w:name w:val="Záhlaví Char"/>
    <w:basedOn w:val="Standardnpsmoodstavce"/>
    <w:link w:val="Zhlav"/>
    <w:uiPriority w:val="99"/>
    <w:rsid w:val="0010547F"/>
  </w:style>
  <w:style w:type="paragraph" w:styleId="Zpat">
    <w:name w:val="footer"/>
    <w:basedOn w:val="Normln"/>
    <w:link w:val="ZpatChar"/>
    <w:uiPriority w:val="99"/>
    <w:unhideWhenUsed/>
    <w:rsid w:val="0010547F"/>
    <w:pPr>
      <w:tabs>
        <w:tab w:val="center" w:pos="4536"/>
        <w:tab w:val="right" w:pos="9072"/>
      </w:tabs>
    </w:pPr>
  </w:style>
  <w:style w:type="character" w:customStyle="1" w:styleId="ZpatChar">
    <w:name w:val="Zápatí Char"/>
    <w:basedOn w:val="Standardnpsmoodstavce"/>
    <w:link w:val="Zpat"/>
    <w:uiPriority w:val="99"/>
    <w:rsid w:val="0010547F"/>
  </w:style>
  <w:style w:type="paragraph" w:styleId="Textbubliny">
    <w:name w:val="Balloon Text"/>
    <w:basedOn w:val="Normln"/>
    <w:link w:val="TextbublinyChar"/>
    <w:uiPriority w:val="99"/>
    <w:semiHidden/>
    <w:unhideWhenUsed/>
    <w:rsid w:val="00BC1785"/>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C1785"/>
    <w:rPr>
      <w:rFonts w:ascii="Segoe UI" w:hAnsi="Segoe UI" w:cs="Segoe UI"/>
      <w:sz w:val="18"/>
      <w:szCs w:val="18"/>
    </w:rPr>
  </w:style>
  <w:style w:type="character" w:customStyle="1" w:styleId="Nadpis2Char">
    <w:name w:val="Nadpis 2 Char"/>
    <w:basedOn w:val="Standardnpsmoodstavce"/>
    <w:link w:val="Nadpis2"/>
    <w:rsid w:val="006C4840"/>
    <w:rPr>
      <w:rFonts w:ascii="Arial" w:eastAsia="Times New Roman" w:hAnsi="Arial" w:cs="Arial"/>
      <w:b/>
      <w:bCs/>
      <w:i/>
      <w:iCs/>
      <w:sz w:val="28"/>
      <w:szCs w:val="28"/>
      <w:lang w:eastAsia="cs-CZ"/>
    </w:rPr>
  </w:style>
  <w:style w:type="character" w:customStyle="1" w:styleId="Nadpis4Char">
    <w:name w:val="Nadpis 4 Char"/>
    <w:basedOn w:val="Standardnpsmoodstavce"/>
    <w:link w:val="Nadpis4"/>
    <w:rsid w:val="006C4840"/>
    <w:rPr>
      <w:rFonts w:ascii="Times New Roman" w:eastAsia="Times New Roman" w:hAnsi="Times New Roman" w:cs="Times New Roman"/>
      <w:b/>
      <w:bCs/>
      <w:sz w:val="24"/>
      <w:szCs w:val="24"/>
      <w:lang w:eastAsia="cs-CZ"/>
    </w:rPr>
  </w:style>
  <w:style w:type="paragraph" w:styleId="Titulek">
    <w:name w:val="caption"/>
    <w:basedOn w:val="Normln"/>
    <w:next w:val="Normln"/>
    <w:unhideWhenUsed/>
    <w:qFormat/>
    <w:rsid w:val="006C4840"/>
    <w:pPr>
      <w:spacing w:after="200"/>
    </w:pPr>
    <w:rPr>
      <w:b/>
      <w:bCs/>
      <w:color w:val="5B9BD5" w:themeColor="accent1"/>
      <w:sz w:val="18"/>
      <w:szCs w:val="18"/>
    </w:rPr>
  </w:style>
  <w:style w:type="character" w:customStyle="1" w:styleId="platne1">
    <w:name w:val="platne1"/>
    <w:basedOn w:val="Standardnpsmoodstavce"/>
    <w:rsid w:val="006C4840"/>
    <w:rPr>
      <w:rFonts w:cs="Times New Roman"/>
    </w:rPr>
  </w:style>
  <w:style w:type="character" w:styleId="Odkaznakoment">
    <w:name w:val="annotation reference"/>
    <w:basedOn w:val="Standardnpsmoodstavce"/>
    <w:uiPriority w:val="99"/>
    <w:semiHidden/>
    <w:unhideWhenUsed/>
    <w:rsid w:val="006C3C2F"/>
    <w:rPr>
      <w:sz w:val="16"/>
      <w:szCs w:val="16"/>
    </w:rPr>
  </w:style>
  <w:style w:type="paragraph" w:styleId="Textkomente">
    <w:name w:val="annotation text"/>
    <w:basedOn w:val="Normln"/>
    <w:link w:val="TextkomenteChar"/>
    <w:uiPriority w:val="99"/>
    <w:semiHidden/>
    <w:unhideWhenUsed/>
    <w:rsid w:val="006C3C2F"/>
    <w:rPr>
      <w:sz w:val="20"/>
      <w:szCs w:val="20"/>
    </w:rPr>
  </w:style>
  <w:style w:type="character" w:customStyle="1" w:styleId="TextkomenteChar">
    <w:name w:val="Text komentáře Char"/>
    <w:basedOn w:val="Standardnpsmoodstavce"/>
    <w:link w:val="Textkomente"/>
    <w:uiPriority w:val="99"/>
    <w:semiHidden/>
    <w:rsid w:val="006C3C2F"/>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6C3C2F"/>
    <w:rPr>
      <w:b/>
      <w:bCs/>
    </w:rPr>
  </w:style>
  <w:style w:type="character" w:customStyle="1" w:styleId="PedmtkomenteChar">
    <w:name w:val="Předmět komentáře Char"/>
    <w:basedOn w:val="TextkomenteChar"/>
    <w:link w:val="Pedmtkomente"/>
    <w:uiPriority w:val="99"/>
    <w:semiHidden/>
    <w:rsid w:val="006C3C2F"/>
    <w:rPr>
      <w:rFonts w:ascii="Times New Roman" w:eastAsia="Times New Roman" w:hAnsi="Times New Roman" w:cs="Times New Roman"/>
      <w:b/>
      <w:bCs/>
      <w:sz w:val="20"/>
      <w:szCs w:val="20"/>
      <w:lang w:eastAsia="cs-CZ"/>
    </w:rPr>
  </w:style>
  <w:style w:type="paragraph" w:styleId="Revize">
    <w:name w:val="Revision"/>
    <w:hidden/>
    <w:uiPriority w:val="99"/>
    <w:semiHidden/>
    <w:rsid w:val="00226514"/>
    <w:pPr>
      <w:spacing w:after="0" w:line="240" w:lineRule="auto"/>
    </w:pPr>
    <w:rPr>
      <w:rFonts w:ascii="Times New Roman" w:eastAsia="Times New Roman" w:hAnsi="Times New Roman" w:cs="Times New Roman"/>
      <w:sz w:val="24"/>
      <w:szCs w:val="24"/>
      <w:lang w:eastAsia="cs-CZ"/>
    </w:rPr>
  </w:style>
  <w:style w:type="paragraph" w:styleId="Normlnweb">
    <w:name w:val="Normal (Web)"/>
    <w:basedOn w:val="Normln"/>
    <w:uiPriority w:val="99"/>
    <w:unhideWhenUsed/>
    <w:rsid w:val="004E1F7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281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5" Type="http://schemas.openxmlformats.org/officeDocument/2006/relationships/footnotes" Target="footnotes.xml"/><Relationship Id="rId15" Type="http://schemas.openxmlformats.org/officeDocument/2006/relationships/chart" Target="charts/chart9.xml"/><Relationship Id="rId10" Type="http://schemas.openxmlformats.org/officeDocument/2006/relationships/chart" Target="charts/chart4.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emf"/></Relationships>
</file>

<file path=word/charts/_rels/chart1.xml.rels><?xml version="1.0" encoding="UTF-8" standalone="yes"?>
<Relationships xmlns="http://schemas.openxmlformats.org/package/2006/relationships"><Relationship Id="rId3" Type="http://schemas.openxmlformats.org/officeDocument/2006/relationships/image" Target="../media/image1.jpeg"/><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package" Target="../embeddings/Microsoft_Excel_Worksheet.xlsx"/><Relationship Id="rId4" Type="http://schemas.openxmlformats.org/officeDocument/2006/relationships/image" Target="../media/image2.jpeg"/></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7.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image" Target="../media/image3.jpeg"/></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image" Target="../media/image4.jpeg"/></Relationships>
</file>

<file path=word/charts/_rels/chart8.xml.rels><?xml version="1.0" encoding="UTF-8" standalone="yes"?>
<Relationships xmlns="http://schemas.openxmlformats.org/package/2006/relationships"><Relationship Id="rId1" Type="http://schemas.openxmlformats.org/officeDocument/2006/relationships/oleObject" Target="file:///\\frydekmistek.cz\data\odbory\OZPAZ\zelen\0%20ODPADY%20a%20DERATIZACE\Statistiky\Mno&#382;stv&#237;%20odpad&#367;,%20n&#225;klady%20a%20p&#345;&#237;jmy,%20grafy%202000-2023\Mno&#382;stv&#237;%20odpad&#367;%202000-202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rydekmistek.cz\data\odbory\OZPAZ\zelen\0%20ODPADY%20a%20DERATIZACE\Statistiky\Mno&#382;stv&#237;%20odpad&#367;,%20n&#225;klady%20a%20p&#345;&#237;jmy,%20grafy%202000-2023\Mno&#382;stv&#237;%20odpad&#367;%202000-20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cs-CZ" sz="1050" b="1"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Složení komunálního odpadu statutárního města Frýdku-Místku </a:t>
            </a:r>
          </a:p>
          <a:p>
            <a:pPr>
              <a:defRPr>
                <a:solidFill>
                  <a:sysClr val="windowText" lastClr="000000"/>
                </a:solidFill>
              </a:defRPr>
            </a:pPr>
            <a:r>
              <a:rPr lang="cs-CZ" sz="1050" b="1"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v roce 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cs-CZ"/>
        </a:p>
      </c:txPr>
    </c:title>
    <c:autoTitleDeleted val="0"/>
    <c:plotArea>
      <c:layout>
        <c:manualLayout>
          <c:layoutTarget val="inner"/>
          <c:xMode val="edge"/>
          <c:yMode val="edge"/>
          <c:x val="0.25018916736841196"/>
          <c:y val="0.19755570201301931"/>
          <c:w val="1"/>
          <c:h val="0.66542888997282423"/>
        </c:manualLayout>
      </c:layout>
      <c:pieChart>
        <c:varyColors val="1"/>
        <c:ser>
          <c:idx val="0"/>
          <c:order val="0"/>
          <c:tx>
            <c:strRef>
              <c:f>'2023'!$H$4:$H$14</c:f>
              <c:strCache>
                <c:ptCount val="11"/>
                <c:pt idx="0">
                  <c:v>9 460,82</c:v>
                </c:pt>
                <c:pt idx="1">
                  <c:v>951,69</c:v>
                </c:pt>
                <c:pt idx="2">
                  <c:v>720,10</c:v>
                </c:pt>
                <c:pt idx="3">
                  <c:v>703,51</c:v>
                </c:pt>
                <c:pt idx="4">
                  <c:v>2 252,37</c:v>
                </c:pt>
                <c:pt idx="5">
                  <c:v>5 073,36</c:v>
                </c:pt>
                <c:pt idx="6">
                  <c:v>21,84</c:v>
                </c:pt>
                <c:pt idx="7">
                  <c:v>136,96</c:v>
                </c:pt>
                <c:pt idx="8">
                  <c:v>74,42</c:v>
                </c:pt>
                <c:pt idx="9">
                  <c:v>7 385,53</c:v>
                </c:pt>
                <c:pt idx="10">
                  <c:v>401,07</c:v>
                </c:pt>
              </c:strCache>
            </c:strRef>
          </c:tx>
          <c:dPt>
            <c:idx val="0"/>
            <c:bubble3D val="0"/>
            <c:spPr>
              <a:solidFill>
                <a:schemeClr val="accent4">
                  <a:lumMod val="75000"/>
                </a:schemeClr>
              </a:solidFill>
              <a:ln w="19050">
                <a:solidFill>
                  <a:schemeClr val="lt1"/>
                </a:solidFill>
              </a:ln>
              <a:effectLst/>
            </c:spPr>
            <c:extLst>
              <c:ext xmlns:c16="http://schemas.microsoft.com/office/drawing/2014/chart" uri="{C3380CC4-5D6E-409C-BE32-E72D297353CC}">
                <c16:uniqueId val="{00000001-B94E-4011-9D30-22B0DB96DF4E}"/>
              </c:ext>
            </c:extLst>
          </c:dPt>
          <c:dPt>
            <c:idx val="1"/>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3-B94E-4011-9D30-22B0DB96DF4E}"/>
              </c:ext>
            </c:extLst>
          </c:dPt>
          <c:dPt>
            <c:idx val="2"/>
            <c:bubble3D val="0"/>
            <c:spPr>
              <a:solidFill>
                <a:srgbClr val="FFFF00"/>
              </a:solidFill>
              <a:ln w="19050">
                <a:solidFill>
                  <a:schemeClr val="lt1"/>
                </a:solidFill>
              </a:ln>
              <a:effectLst/>
            </c:spPr>
            <c:extLst>
              <c:ext xmlns:c16="http://schemas.microsoft.com/office/drawing/2014/chart" uri="{C3380CC4-5D6E-409C-BE32-E72D297353CC}">
                <c16:uniqueId val="{00000005-B94E-4011-9D30-22B0DB96DF4E}"/>
              </c:ext>
            </c:extLst>
          </c:dPt>
          <c:dPt>
            <c:idx val="3"/>
            <c:bubble3D val="0"/>
            <c:spPr>
              <a:solidFill>
                <a:srgbClr val="00CC00"/>
              </a:solidFill>
              <a:ln w="19050">
                <a:solidFill>
                  <a:schemeClr val="lt1"/>
                </a:solidFill>
              </a:ln>
              <a:effectLst/>
            </c:spPr>
            <c:extLst>
              <c:ext xmlns:c16="http://schemas.microsoft.com/office/drawing/2014/chart" uri="{C3380CC4-5D6E-409C-BE32-E72D297353CC}">
                <c16:uniqueId val="{00000007-B94E-4011-9D30-22B0DB96DF4E}"/>
              </c:ext>
            </c:extLst>
          </c:dPt>
          <c:dPt>
            <c:idx val="4"/>
            <c:bubble3D val="0"/>
            <c:spPr>
              <a:solidFill>
                <a:srgbClr val="7030A0"/>
              </a:solidFill>
              <a:ln w="19050">
                <a:solidFill>
                  <a:schemeClr val="lt1"/>
                </a:solidFill>
              </a:ln>
              <a:effectLst/>
            </c:spPr>
            <c:extLst>
              <c:ext xmlns:c16="http://schemas.microsoft.com/office/drawing/2014/chart" uri="{C3380CC4-5D6E-409C-BE32-E72D297353CC}">
                <c16:uniqueId val="{00000009-B94E-4011-9D30-22B0DB96DF4E}"/>
              </c:ext>
            </c:extLst>
          </c:dPt>
          <c:dPt>
            <c:idx val="5"/>
            <c:bubble3D val="0"/>
            <c:spPr>
              <a:blipFill>
                <a:blip xmlns:r="http://schemas.openxmlformats.org/officeDocument/2006/relationships" r:embed="rId3"/>
                <a:tile tx="0" ty="0" sx="100000" sy="100000" flip="none" algn="tl"/>
              </a:blipFill>
              <a:ln w="19050">
                <a:solidFill>
                  <a:schemeClr val="lt1"/>
                </a:solidFill>
              </a:ln>
              <a:effectLst/>
            </c:spPr>
            <c:extLst>
              <c:ext xmlns:c16="http://schemas.microsoft.com/office/drawing/2014/chart" uri="{C3380CC4-5D6E-409C-BE32-E72D297353CC}">
                <c16:uniqueId val="{0000000B-B94E-4011-9D30-22B0DB96DF4E}"/>
              </c:ext>
            </c:extLst>
          </c:dPt>
          <c:dPt>
            <c:idx val="6"/>
            <c:bubble3D val="0"/>
            <c:spPr>
              <a:solidFill>
                <a:srgbClr val="FF0000"/>
              </a:solidFill>
              <a:ln w="19050">
                <a:solidFill>
                  <a:schemeClr val="lt1"/>
                </a:solidFill>
              </a:ln>
              <a:effectLst/>
            </c:spPr>
            <c:extLst>
              <c:ext xmlns:c16="http://schemas.microsoft.com/office/drawing/2014/chart" uri="{C3380CC4-5D6E-409C-BE32-E72D297353CC}">
                <c16:uniqueId val="{0000000D-B94E-4011-9D30-22B0DB96DF4E}"/>
              </c:ext>
            </c:extLst>
          </c:dPt>
          <c:dPt>
            <c:idx val="7"/>
            <c:bubble3D val="0"/>
            <c:spPr>
              <a:solidFill>
                <a:srgbClr val="FD968B"/>
              </a:solidFill>
              <a:ln w="19050">
                <a:solidFill>
                  <a:schemeClr val="lt1"/>
                </a:solidFill>
              </a:ln>
              <a:effectLst/>
            </c:spPr>
            <c:extLst>
              <c:ext xmlns:c16="http://schemas.microsoft.com/office/drawing/2014/chart" uri="{C3380CC4-5D6E-409C-BE32-E72D297353CC}">
                <c16:uniqueId val="{0000000F-B94E-4011-9D30-22B0DB96DF4E}"/>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B94E-4011-9D30-22B0DB96DF4E}"/>
              </c:ext>
            </c:extLst>
          </c:dPt>
          <c:dPt>
            <c:idx val="9"/>
            <c:bubble3D val="0"/>
            <c:spPr>
              <a:blipFill>
                <a:blip xmlns:r="http://schemas.openxmlformats.org/officeDocument/2006/relationships" r:embed="rId4"/>
                <a:tile tx="0" ty="0" sx="100000" sy="100000" flip="none" algn="tl"/>
              </a:blipFill>
              <a:ln w="19050">
                <a:solidFill>
                  <a:schemeClr val="lt1"/>
                </a:solidFill>
              </a:ln>
              <a:effectLst/>
            </c:spPr>
            <c:extLst>
              <c:ext xmlns:c16="http://schemas.microsoft.com/office/drawing/2014/chart" uri="{C3380CC4-5D6E-409C-BE32-E72D297353CC}">
                <c16:uniqueId val="{00000013-B94E-4011-9D30-22B0DB96DF4E}"/>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B94E-4011-9D30-22B0DB96DF4E}"/>
              </c:ext>
            </c:extLst>
          </c:dPt>
          <c:dLbls>
            <c:dLbl>
              <c:idx val="0"/>
              <c:layout>
                <c:manualLayout>
                  <c:x val="-2.5708366114759226E-2"/>
                  <c:y val="-0.10199857483045485"/>
                </c:manualLayout>
              </c:layout>
              <c:tx>
                <c:rich>
                  <a:bodyPr/>
                  <a:lstStyle/>
                  <a:p>
                    <a:fld id="{D196A92B-19B2-490C-834D-6A8843A8926F}" type="CATEGORYNAME">
                      <a:rPr lang="en-US" sz="1000">
                        <a:latin typeface="Tahoma" panose="020B0604030504040204" pitchFamily="34" charset="0"/>
                        <a:ea typeface="Tahoma" panose="020B0604030504040204" pitchFamily="34" charset="0"/>
                        <a:cs typeface="Tahoma" panose="020B0604030504040204" pitchFamily="34" charset="0"/>
                      </a:rPr>
                      <a:pPr/>
                      <a:t>[NÁZEV KATEGORIE]</a:t>
                    </a:fld>
                    <a:r>
                      <a:rPr lang="en-US" sz="1000" baseline="0">
                        <a:latin typeface="Tahoma" panose="020B0604030504040204" pitchFamily="34" charset="0"/>
                        <a:ea typeface="Tahoma" panose="020B0604030504040204" pitchFamily="34" charset="0"/>
                        <a:cs typeface="Tahoma" panose="020B0604030504040204" pitchFamily="34" charset="0"/>
                      </a:rPr>
                      <a:t>; </a:t>
                    </a:r>
                    <a:fld id="{5348861D-0CE2-404E-B8D1-9ABD7C710CFB}" type="VALUE">
                      <a:rPr lang="en-US" sz="1000" baseline="0">
                        <a:latin typeface="Tahoma" panose="020B0604030504040204" pitchFamily="34" charset="0"/>
                        <a:ea typeface="Tahoma" panose="020B0604030504040204" pitchFamily="34" charset="0"/>
                        <a:cs typeface="Tahoma" panose="020B0604030504040204" pitchFamily="34" charset="0"/>
                      </a:rPr>
                      <a:pPr/>
                      <a:t>[HODNOTA]</a:t>
                    </a:fld>
                    <a:r>
                      <a:rPr lang="en-US" sz="1000" baseline="0">
                        <a:latin typeface="Tahoma" panose="020B0604030504040204" pitchFamily="34" charset="0"/>
                        <a:ea typeface="Tahoma" panose="020B0604030504040204" pitchFamily="34" charset="0"/>
                        <a:cs typeface="Tahoma" panose="020B0604030504040204" pitchFamily="34" charset="0"/>
                      </a:rPr>
                      <a:t> t; </a:t>
                    </a:r>
                    <a:fld id="{1C26572C-F0AE-447E-9C31-9D365FEFDEBF}" type="PERCENTAGE">
                      <a:rPr lang="en-US" sz="1000" baseline="0">
                        <a:latin typeface="Tahoma" panose="020B0604030504040204" pitchFamily="34" charset="0"/>
                        <a:ea typeface="Tahoma" panose="020B0604030504040204" pitchFamily="34" charset="0"/>
                        <a:cs typeface="Tahoma" panose="020B0604030504040204" pitchFamily="34" charset="0"/>
                      </a:rPr>
                      <a:pPr/>
                      <a:t>[PROCENTO]</a:t>
                    </a:fld>
                    <a:endParaRPr lang="en-US" sz="1000" baseline="0">
                      <a:latin typeface="Tahoma" panose="020B0604030504040204" pitchFamily="34" charset="0"/>
                      <a:ea typeface="Tahoma" panose="020B0604030504040204" pitchFamily="34" charset="0"/>
                      <a:cs typeface="Tahoma" panose="020B0604030504040204" pitchFamily="34" charset="0"/>
                    </a:endParaRPr>
                  </a:p>
                </c:rich>
              </c:tx>
              <c:dLblPos val="bestFit"/>
              <c:showLegendKey val="1"/>
              <c:showVal val="1"/>
              <c:showCatName val="1"/>
              <c:showSerName val="0"/>
              <c:showPercent val="1"/>
              <c:showBubbleSize val="0"/>
              <c:extLst>
                <c:ext xmlns:c15="http://schemas.microsoft.com/office/drawing/2012/chart" uri="{CE6537A1-D6FC-4f65-9D91-7224C49458BB}">
                  <c15:layout>
                    <c:manualLayout>
                      <c:w val="0.24722885979946513"/>
                      <c:h val="0.10083268217427019"/>
                    </c:manualLayout>
                  </c15:layout>
                  <c15:dlblFieldTable/>
                  <c15:showDataLabelsRange val="0"/>
                </c:ext>
                <c:ext xmlns:c16="http://schemas.microsoft.com/office/drawing/2014/chart" uri="{C3380CC4-5D6E-409C-BE32-E72D297353CC}">
                  <c16:uniqueId val="{00000001-B94E-4011-9D30-22B0DB96DF4E}"/>
                </c:ext>
              </c:extLst>
            </c:dLbl>
            <c:dLbl>
              <c:idx val="1"/>
              <c:layout>
                <c:manualLayout>
                  <c:x val="2.6355928695032994E-2"/>
                  <c:y val="-7.0173508845745525E-2"/>
                </c:manualLayout>
              </c:layout>
              <c:tx>
                <c:rich>
                  <a:bodyPr/>
                  <a:lstStyle/>
                  <a:p>
                    <a:fld id="{2F8E7E46-FBF9-4091-8721-E971955F85DC}" type="CATEGORYNAME">
                      <a:rPr lang="en-US" sz="1000">
                        <a:latin typeface="Tahoma" panose="020B0604030504040204" pitchFamily="34" charset="0"/>
                        <a:ea typeface="Tahoma" panose="020B0604030504040204" pitchFamily="34" charset="0"/>
                        <a:cs typeface="Tahoma" panose="020B0604030504040204" pitchFamily="34" charset="0"/>
                      </a:rPr>
                      <a:pPr/>
                      <a:t>[NÁZEV KATEGORIE]</a:t>
                    </a:fld>
                    <a:r>
                      <a:rPr lang="en-US" sz="1000" baseline="0">
                        <a:latin typeface="Tahoma" panose="020B0604030504040204" pitchFamily="34" charset="0"/>
                        <a:ea typeface="Tahoma" panose="020B0604030504040204" pitchFamily="34" charset="0"/>
                        <a:cs typeface="Tahoma" panose="020B0604030504040204" pitchFamily="34" charset="0"/>
                      </a:rPr>
                      <a:t>; </a:t>
                    </a:r>
                    <a:fld id="{55738B45-743A-4275-BFC7-966F70721C0A}" type="VALUE">
                      <a:rPr lang="en-US" sz="1000" baseline="0">
                        <a:latin typeface="Tahoma" panose="020B0604030504040204" pitchFamily="34" charset="0"/>
                        <a:ea typeface="Tahoma" panose="020B0604030504040204" pitchFamily="34" charset="0"/>
                        <a:cs typeface="Tahoma" panose="020B0604030504040204" pitchFamily="34" charset="0"/>
                      </a:rPr>
                      <a:pPr/>
                      <a:t>[HODNOTA]</a:t>
                    </a:fld>
                    <a:r>
                      <a:rPr lang="en-US" sz="1000" baseline="0">
                        <a:latin typeface="Tahoma" panose="020B0604030504040204" pitchFamily="34" charset="0"/>
                        <a:ea typeface="Tahoma" panose="020B0604030504040204" pitchFamily="34" charset="0"/>
                        <a:cs typeface="Tahoma" panose="020B0604030504040204" pitchFamily="34" charset="0"/>
                      </a:rPr>
                      <a:t> t; </a:t>
                    </a:r>
                    <a:fld id="{E9BBC742-20E5-4855-8EDF-7AD1BB896DE2}" type="PERCENTAGE">
                      <a:rPr lang="en-US" sz="1000" baseline="0">
                        <a:latin typeface="Tahoma" panose="020B0604030504040204" pitchFamily="34" charset="0"/>
                        <a:ea typeface="Tahoma" panose="020B0604030504040204" pitchFamily="34" charset="0"/>
                        <a:cs typeface="Tahoma" panose="020B0604030504040204" pitchFamily="34" charset="0"/>
                      </a:rPr>
                      <a:pPr/>
                      <a:t>[PROCENTO]</a:t>
                    </a:fld>
                    <a:endParaRPr lang="en-US" sz="1000" baseline="0">
                      <a:latin typeface="Tahoma" panose="020B0604030504040204" pitchFamily="34" charset="0"/>
                      <a:ea typeface="Tahoma" panose="020B0604030504040204" pitchFamily="34" charset="0"/>
                      <a:cs typeface="Tahoma" panose="020B0604030504040204" pitchFamily="34" charset="0"/>
                    </a:endParaRPr>
                  </a:p>
                </c:rich>
              </c:tx>
              <c:dLblPos val="bestFit"/>
              <c:showLegendKey val="1"/>
              <c:showVal val="1"/>
              <c:showCatName val="1"/>
              <c:showSerName val="0"/>
              <c:showPercent val="1"/>
              <c:showBubbleSize val="0"/>
              <c:extLst>
                <c:ext xmlns:c15="http://schemas.microsoft.com/office/drawing/2012/chart" uri="{CE6537A1-D6FC-4f65-9D91-7224C49458BB}">
                  <c15:layout>
                    <c:manualLayout>
                      <c:w val="0.20311433468292803"/>
                      <c:h val="6.0798621546352509E-2"/>
                    </c:manualLayout>
                  </c15:layout>
                  <c15:dlblFieldTable/>
                  <c15:showDataLabelsRange val="0"/>
                </c:ext>
                <c:ext xmlns:c16="http://schemas.microsoft.com/office/drawing/2014/chart" uri="{C3380CC4-5D6E-409C-BE32-E72D297353CC}">
                  <c16:uniqueId val="{00000003-B94E-4011-9D30-22B0DB96DF4E}"/>
                </c:ext>
              </c:extLst>
            </c:dLbl>
            <c:dLbl>
              <c:idx val="2"/>
              <c:layout>
                <c:manualLayout>
                  <c:x val="4.2165017810682701E-2"/>
                  <c:y val="-3.1380072936076309E-2"/>
                </c:manualLayout>
              </c:layout>
              <c:tx>
                <c:rich>
                  <a:bodyPr/>
                  <a:lstStyle/>
                  <a:p>
                    <a:fld id="{1BCDC407-C8A4-439C-BC9E-5602B98668E1}" type="CATEGORYNAME">
                      <a:rPr lang="en-US" sz="1000">
                        <a:latin typeface="Tahoma" panose="020B0604030504040204" pitchFamily="34" charset="0"/>
                        <a:ea typeface="Tahoma" panose="020B0604030504040204" pitchFamily="34" charset="0"/>
                        <a:cs typeface="Tahoma" panose="020B0604030504040204" pitchFamily="34" charset="0"/>
                      </a:rPr>
                      <a:pPr/>
                      <a:t>[NÁZEV KATEGORIE]</a:t>
                    </a:fld>
                    <a:r>
                      <a:rPr lang="en-US" sz="1000" baseline="0">
                        <a:latin typeface="Tahoma" panose="020B0604030504040204" pitchFamily="34" charset="0"/>
                        <a:ea typeface="Tahoma" panose="020B0604030504040204" pitchFamily="34" charset="0"/>
                        <a:cs typeface="Tahoma" panose="020B0604030504040204" pitchFamily="34" charset="0"/>
                      </a:rPr>
                      <a:t>; </a:t>
                    </a:r>
                    <a:fld id="{A56201D4-5495-4955-B5E7-5E04ED6B19EC}" type="VALUE">
                      <a:rPr lang="en-US" sz="1000" baseline="0">
                        <a:latin typeface="Tahoma" panose="020B0604030504040204" pitchFamily="34" charset="0"/>
                        <a:ea typeface="Tahoma" panose="020B0604030504040204" pitchFamily="34" charset="0"/>
                        <a:cs typeface="Tahoma" panose="020B0604030504040204" pitchFamily="34" charset="0"/>
                      </a:rPr>
                      <a:pPr/>
                      <a:t>[HODNOTA]</a:t>
                    </a:fld>
                    <a:r>
                      <a:rPr lang="en-US" sz="1000" baseline="0">
                        <a:latin typeface="Tahoma" panose="020B0604030504040204" pitchFamily="34" charset="0"/>
                        <a:ea typeface="Tahoma" panose="020B0604030504040204" pitchFamily="34" charset="0"/>
                        <a:cs typeface="Tahoma" panose="020B0604030504040204" pitchFamily="34" charset="0"/>
                      </a:rPr>
                      <a:t> t; </a:t>
                    </a:r>
                    <a:fld id="{3173CD7D-507D-42F7-8010-F776AACFE6B6}" type="PERCENTAGE">
                      <a:rPr lang="en-US" sz="1000" baseline="0">
                        <a:latin typeface="Tahoma" panose="020B0604030504040204" pitchFamily="34" charset="0"/>
                        <a:ea typeface="Tahoma" panose="020B0604030504040204" pitchFamily="34" charset="0"/>
                        <a:cs typeface="Tahoma" panose="020B0604030504040204" pitchFamily="34" charset="0"/>
                      </a:rPr>
                      <a:pPr/>
                      <a:t>[PROCENTO]</a:t>
                    </a:fld>
                    <a:endParaRPr lang="en-US" sz="1000" baseline="0">
                      <a:latin typeface="Tahoma" panose="020B0604030504040204" pitchFamily="34" charset="0"/>
                      <a:ea typeface="Tahoma" panose="020B0604030504040204" pitchFamily="34" charset="0"/>
                      <a:cs typeface="Tahoma" panose="020B0604030504040204" pitchFamily="34" charset="0"/>
                    </a:endParaRPr>
                  </a:p>
                </c:rich>
              </c:tx>
              <c:dLblPos val="bestFit"/>
              <c:showLegendKey val="1"/>
              <c:showVal val="1"/>
              <c:showCatName val="1"/>
              <c:showSerName val="0"/>
              <c:showPercent val="1"/>
              <c:showBubbleSize val="0"/>
              <c:extLst>
                <c:ext xmlns:c15="http://schemas.microsoft.com/office/drawing/2012/chart" uri="{CE6537A1-D6FC-4f65-9D91-7224C49458BB}">
                  <c15:layout>
                    <c:manualLayout>
                      <c:w val="0.2369639914884456"/>
                      <c:h val="5.8254092284265993E-2"/>
                    </c:manualLayout>
                  </c15:layout>
                  <c15:dlblFieldTable/>
                  <c15:showDataLabelsRange val="0"/>
                </c:ext>
                <c:ext xmlns:c16="http://schemas.microsoft.com/office/drawing/2014/chart" uri="{C3380CC4-5D6E-409C-BE32-E72D297353CC}">
                  <c16:uniqueId val="{00000005-B94E-4011-9D30-22B0DB96DF4E}"/>
                </c:ext>
              </c:extLst>
            </c:dLbl>
            <c:dLbl>
              <c:idx val="3"/>
              <c:layout>
                <c:manualLayout>
                  <c:x val="6.4221870858369959E-2"/>
                  <c:y val="2.5277377325389188E-2"/>
                </c:manualLayout>
              </c:layout>
              <c:tx>
                <c:rich>
                  <a:bodyPr/>
                  <a:lstStyle/>
                  <a:p>
                    <a:fld id="{FCB62431-9E9E-49F8-8E4B-A6E78E36383E}" type="CATEGORYNAME">
                      <a:rPr lang="en-US" sz="1000">
                        <a:latin typeface="Tahoma" panose="020B0604030504040204" pitchFamily="34" charset="0"/>
                        <a:ea typeface="Tahoma" panose="020B0604030504040204" pitchFamily="34" charset="0"/>
                        <a:cs typeface="Tahoma" panose="020B0604030504040204" pitchFamily="34" charset="0"/>
                      </a:rPr>
                      <a:pPr/>
                      <a:t>[NÁZEV KATEGORIE]</a:t>
                    </a:fld>
                    <a:r>
                      <a:rPr lang="en-US" sz="1000" baseline="0">
                        <a:latin typeface="Tahoma" panose="020B0604030504040204" pitchFamily="34" charset="0"/>
                        <a:ea typeface="Tahoma" panose="020B0604030504040204" pitchFamily="34" charset="0"/>
                        <a:cs typeface="Tahoma" panose="020B0604030504040204" pitchFamily="34" charset="0"/>
                      </a:rPr>
                      <a:t>; </a:t>
                    </a:r>
                    <a:fld id="{B9AA3D23-6E9A-454E-9C97-3BA865A9C0AE}" type="VALUE">
                      <a:rPr lang="en-US" sz="1000" baseline="0">
                        <a:latin typeface="Tahoma" panose="020B0604030504040204" pitchFamily="34" charset="0"/>
                        <a:ea typeface="Tahoma" panose="020B0604030504040204" pitchFamily="34" charset="0"/>
                        <a:cs typeface="Tahoma" panose="020B0604030504040204" pitchFamily="34" charset="0"/>
                      </a:rPr>
                      <a:pPr/>
                      <a:t>[HODNOTA]</a:t>
                    </a:fld>
                    <a:r>
                      <a:rPr lang="en-US" sz="1000" baseline="0">
                        <a:latin typeface="Tahoma" panose="020B0604030504040204" pitchFamily="34" charset="0"/>
                        <a:ea typeface="Tahoma" panose="020B0604030504040204" pitchFamily="34" charset="0"/>
                        <a:cs typeface="Tahoma" panose="020B0604030504040204" pitchFamily="34" charset="0"/>
                      </a:rPr>
                      <a:t> t; </a:t>
                    </a:r>
                    <a:fld id="{67716FA2-AB9B-4351-ABD2-2B84DF144F4E}" type="PERCENTAGE">
                      <a:rPr lang="en-US" sz="1000" baseline="0">
                        <a:latin typeface="Tahoma" panose="020B0604030504040204" pitchFamily="34" charset="0"/>
                        <a:ea typeface="Tahoma" panose="020B0604030504040204" pitchFamily="34" charset="0"/>
                        <a:cs typeface="Tahoma" panose="020B0604030504040204" pitchFamily="34" charset="0"/>
                      </a:rPr>
                      <a:pPr/>
                      <a:t>[PROCENTO]</a:t>
                    </a:fld>
                    <a:endParaRPr lang="en-US" sz="1000" baseline="0">
                      <a:latin typeface="Tahoma" panose="020B0604030504040204" pitchFamily="34" charset="0"/>
                      <a:ea typeface="Tahoma" panose="020B0604030504040204" pitchFamily="34" charset="0"/>
                      <a:cs typeface="Tahoma" panose="020B0604030504040204" pitchFamily="34" charset="0"/>
                    </a:endParaRPr>
                  </a:p>
                </c:rich>
              </c:tx>
              <c:dLblPos val="bestFit"/>
              <c:showLegendKey val="1"/>
              <c:showVal val="1"/>
              <c:showCatName val="1"/>
              <c:showSerName val="0"/>
              <c:showPercent val="1"/>
              <c:showBubbleSize val="0"/>
              <c:extLst>
                <c:ext xmlns:c15="http://schemas.microsoft.com/office/drawing/2012/chart" uri="{CE6537A1-D6FC-4f65-9D91-7224C49458BB}">
                  <c15:layout>
                    <c:manualLayout>
                      <c:w val="0.20680295089296802"/>
                      <c:h val="5.5709563022179477E-2"/>
                    </c:manualLayout>
                  </c15:layout>
                  <c15:dlblFieldTable/>
                  <c15:showDataLabelsRange val="0"/>
                </c:ext>
                <c:ext xmlns:c16="http://schemas.microsoft.com/office/drawing/2014/chart" uri="{C3380CC4-5D6E-409C-BE32-E72D297353CC}">
                  <c16:uniqueId val="{00000007-B94E-4011-9D30-22B0DB96DF4E}"/>
                </c:ext>
              </c:extLst>
            </c:dLbl>
            <c:dLbl>
              <c:idx val="4"/>
              <c:layout>
                <c:manualLayout>
                  <c:x val="-0.12381405400034774"/>
                  <c:y val="5.3911762938029691E-2"/>
                </c:manualLayout>
              </c:layout>
              <c:tx>
                <c:rich>
                  <a:bodyPr/>
                  <a:lstStyle/>
                  <a:p>
                    <a:fld id="{4742F54E-6F3C-4CEF-B1D0-203E34E0C6F5}" type="CATEGORYNAME">
                      <a:rPr lang="en-US" sz="1000">
                        <a:latin typeface="Tahoma" panose="020B0604030504040204" pitchFamily="34" charset="0"/>
                        <a:ea typeface="Tahoma" panose="020B0604030504040204" pitchFamily="34" charset="0"/>
                        <a:cs typeface="Tahoma" panose="020B0604030504040204" pitchFamily="34" charset="0"/>
                      </a:rPr>
                      <a:pPr/>
                      <a:t>[NÁZEV KATEGORIE]</a:t>
                    </a:fld>
                    <a:r>
                      <a:rPr lang="en-US" sz="1000" baseline="0">
                        <a:latin typeface="Tahoma" panose="020B0604030504040204" pitchFamily="34" charset="0"/>
                        <a:ea typeface="Tahoma" panose="020B0604030504040204" pitchFamily="34" charset="0"/>
                        <a:cs typeface="Tahoma" panose="020B0604030504040204" pitchFamily="34" charset="0"/>
                      </a:rPr>
                      <a:t>; </a:t>
                    </a:r>
                    <a:fld id="{A3920BC8-248C-4E56-9536-A9C9A96AF816}" type="VALUE">
                      <a:rPr lang="en-US" sz="1000" baseline="0">
                        <a:latin typeface="Tahoma" panose="020B0604030504040204" pitchFamily="34" charset="0"/>
                        <a:ea typeface="Tahoma" panose="020B0604030504040204" pitchFamily="34" charset="0"/>
                        <a:cs typeface="Tahoma" panose="020B0604030504040204" pitchFamily="34" charset="0"/>
                      </a:rPr>
                      <a:pPr/>
                      <a:t>[HODNOTA]</a:t>
                    </a:fld>
                    <a:r>
                      <a:rPr lang="en-US" sz="1000" baseline="0">
                        <a:latin typeface="Tahoma" panose="020B0604030504040204" pitchFamily="34" charset="0"/>
                        <a:ea typeface="Tahoma" panose="020B0604030504040204" pitchFamily="34" charset="0"/>
                        <a:cs typeface="Tahoma" panose="020B0604030504040204" pitchFamily="34" charset="0"/>
                      </a:rPr>
                      <a:t> t; </a:t>
                    </a:r>
                    <a:fld id="{85094E63-4CD3-48CB-B9D2-20AFF50C3892}" type="PERCENTAGE">
                      <a:rPr lang="en-US" sz="1000" baseline="0">
                        <a:latin typeface="Tahoma" panose="020B0604030504040204" pitchFamily="34" charset="0"/>
                        <a:ea typeface="Tahoma" panose="020B0604030504040204" pitchFamily="34" charset="0"/>
                        <a:cs typeface="Tahoma" panose="020B0604030504040204" pitchFamily="34" charset="0"/>
                      </a:rPr>
                      <a:pPr/>
                      <a:t>[PROCENTO]</a:t>
                    </a:fld>
                    <a:endParaRPr lang="en-US" sz="1000" baseline="0">
                      <a:latin typeface="Tahoma" panose="020B0604030504040204" pitchFamily="34" charset="0"/>
                      <a:ea typeface="Tahoma" panose="020B0604030504040204" pitchFamily="34" charset="0"/>
                      <a:cs typeface="Tahoma" panose="020B0604030504040204" pitchFamily="34" charset="0"/>
                    </a:endParaRPr>
                  </a:p>
                </c:rich>
              </c:tx>
              <c:dLblPos val="bestFit"/>
              <c:showLegendKey val="1"/>
              <c:showVal val="1"/>
              <c:showCatName val="1"/>
              <c:showSerName val="0"/>
              <c:showPercent val="1"/>
              <c:showBubbleSize val="0"/>
              <c:extLst>
                <c:ext xmlns:c15="http://schemas.microsoft.com/office/drawing/2012/chart" uri="{CE6537A1-D6FC-4f65-9D91-7224C49458BB}">
                  <c15:layout>
                    <c:manualLayout>
                      <c:w val="0.24160030469377447"/>
                      <c:h val="5.0620504498006452E-2"/>
                    </c:manualLayout>
                  </c15:layout>
                  <c15:dlblFieldTable/>
                  <c15:showDataLabelsRange val="0"/>
                </c:ext>
                <c:ext xmlns:c16="http://schemas.microsoft.com/office/drawing/2014/chart" uri="{C3380CC4-5D6E-409C-BE32-E72D297353CC}">
                  <c16:uniqueId val="{00000009-B94E-4011-9D30-22B0DB96DF4E}"/>
                </c:ext>
              </c:extLst>
            </c:dLbl>
            <c:dLbl>
              <c:idx val="5"/>
              <c:layout>
                <c:manualLayout>
                  <c:x val="-8.0532717322006776E-3"/>
                  <c:y val="3.6100959708280832E-2"/>
                </c:manualLayout>
              </c:layout>
              <c:tx>
                <c:rich>
                  <a:bodyPr/>
                  <a:lstStyle/>
                  <a:p>
                    <a:fld id="{B6C69548-8EB9-454B-82B5-3935B5FC9530}" type="CATEGORYNAME">
                      <a:rPr lang="en-US" sz="1000">
                        <a:latin typeface="Tahoma" panose="020B0604030504040204" pitchFamily="34" charset="0"/>
                        <a:ea typeface="Tahoma" panose="020B0604030504040204" pitchFamily="34" charset="0"/>
                        <a:cs typeface="Tahoma" panose="020B0604030504040204" pitchFamily="34" charset="0"/>
                      </a:rPr>
                      <a:pPr/>
                      <a:t>[NÁZEV KATEGORIE]</a:t>
                    </a:fld>
                    <a:r>
                      <a:rPr lang="en-US" sz="1000" baseline="0">
                        <a:latin typeface="Tahoma" panose="020B0604030504040204" pitchFamily="34" charset="0"/>
                        <a:ea typeface="Tahoma" panose="020B0604030504040204" pitchFamily="34" charset="0"/>
                        <a:cs typeface="Tahoma" panose="020B0604030504040204" pitchFamily="34" charset="0"/>
                      </a:rPr>
                      <a:t>; </a:t>
                    </a:r>
                    <a:fld id="{EF628C2F-E473-4513-A740-A2CC9EA5EC8E}" type="VALUE">
                      <a:rPr lang="en-US" sz="1000" baseline="0">
                        <a:latin typeface="Tahoma" panose="020B0604030504040204" pitchFamily="34" charset="0"/>
                        <a:ea typeface="Tahoma" panose="020B0604030504040204" pitchFamily="34" charset="0"/>
                        <a:cs typeface="Tahoma" panose="020B0604030504040204" pitchFamily="34" charset="0"/>
                      </a:rPr>
                      <a:pPr/>
                      <a:t>[HODNOTA]</a:t>
                    </a:fld>
                    <a:r>
                      <a:rPr lang="en-US" sz="1000" baseline="0">
                        <a:latin typeface="Tahoma" panose="020B0604030504040204" pitchFamily="34" charset="0"/>
                        <a:ea typeface="Tahoma" panose="020B0604030504040204" pitchFamily="34" charset="0"/>
                        <a:cs typeface="Tahoma" panose="020B0604030504040204" pitchFamily="34" charset="0"/>
                      </a:rPr>
                      <a:t> t; </a:t>
                    </a:r>
                    <a:fld id="{6CB49934-B8AF-4BBB-A791-F165B898FF4F}" type="PERCENTAGE">
                      <a:rPr lang="en-US" sz="1000" baseline="0">
                        <a:latin typeface="Tahoma" panose="020B0604030504040204" pitchFamily="34" charset="0"/>
                        <a:ea typeface="Tahoma" panose="020B0604030504040204" pitchFamily="34" charset="0"/>
                        <a:cs typeface="Tahoma" panose="020B0604030504040204" pitchFamily="34" charset="0"/>
                      </a:rPr>
                      <a:pPr/>
                      <a:t>[PROCENTO]</a:t>
                    </a:fld>
                    <a:endParaRPr lang="en-US" sz="1000" baseline="0">
                      <a:latin typeface="Tahoma" panose="020B0604030504040204" pitchFamily="34" charset="0"/>
                      <a:ea typeface="Tahoma" panose="020B0604030504040204" pitchFamily="34" charset="0"/>
                      <a:cs typeface="Tahoma" panose="020B0604030504040204" pitchFamily="34" charset="0"/>
                    </a:endParaRPr>
                  </a:p>
                </c:rich>
              </c:tx>
              <c:dLblPos val="bestFit"/>
              <c:showLegendKey val="1"/>
              <c:showVal val="1"/>
              <c:showCatName val="1"/>
              <c:showSerName val="0"/>
              <c:showPercent val="1"/>
              <c:showBubbleSize val="0"/>
              <c:extLst>
                <c:ext xmlns:c15="http://schemas.microsoft.com/office/drawing/2012/chart" uri="{CE6537A1-D6FC-4f65-9D91-7224C49458BB}">
                  <c15:layout>
                    <c:manualLayout>
                      <c:w val="0.25071743792278334"/>
                      <c:h val="8.3191881549157493E-2"/>
                    </c:manualLayout>
                  </c15:layout>
                  <c15:dlblFieldTable/>
                  <c15:showDataLabelsRange val="0"/>
                </c:ext>
                <c:ext xmlns:c16="http://schemas.microsoft.com/office/drawing/2014/chart" uri="{C3380CC4-5D6E-409C-BE32-E72D297353CC}">
                  <c16:uniqueId val="{0000000B-B94E-4011-9D30-22B0DB96DF4E}"/>
                </c:ext>
              </c:extLst>
            </c:dLbl>
            <c:dLbl>
              <c:idx val="6"/>
              <c:layout>
                <c:manualLayout>
                  <c:x val="-5.7050284735079948E-2"/>
                  <c:y val="-1.6868254869246559E-2"/>
                </c:manualLayout>
              </c:layout>
              <c:tx>
                <c:rich>
                  <a:bodyPr/>
                  <a:lstStyle/>
                  <a:p>
                    <a:fld id="{F37A468F-80F5-4B41-9665-09FE4A4D91E6}" type="CATEGORYNAME">
                      <a:rPr lang="en-US" sz="1000">
                        <a:latin typeface="Tahoma" panose="020B0604030504040204" pitchFamily="34" charset="0"/>
                        <a:ea typeface="Tahoma" panose="020B0604030504040204" pitchFamily="34" charset="0"/>
                        <a:cs typeface="Tahoma" panose="020B0604030504040204" pitchFamily="34" charset="0"/>
                      </a:rPr>
                      <a:pPr/>
                      <a:t>[NÁZEV KATEGORIE]</a:t>
                    </a:fld>
                    <a:r>
                      <a:rPr lang="en-US" sz="1000" baseline="0">
                        <a:latin typeface="Tahoma" panose="020B0604030504040204" pitchFamily="34" charset="0"/>
                        <a:ea typeface="Tahoma" panose="020B0604030504040204" pitchFamily="34" charset="0"/>
                        <a:cs typeface="Tahoma" panose="020B0604030504040204" pitchFamily="34" charset="0"/>
                      </a:rPr>
                      <a:t>; </a:t>
                    </a:r>
                    <a:fld id="{29A015DD-B743-447A-A112-259984CFFA7C}" type="VALUE">
                      <a:rPr lang="en-US" sz="1000" baseline="0">
                        <a:latin typeface="Tahoma" panose="020B0604030504040204" pitchFamily="34" charset="0"/>
                        <a:ea typeface="Tahoma" panose="020B0604030504040204" pitchFamily="34" charset="0"/>
                        <a:cs typeface="Tahoma" panose="020B0604030504040204" pitchFamily="34" charset="0"/>
                      </a:rPr>
                      <a:pPr/>
                      <a:t>[HODNOTA]</a:t>
                    </a:fld>
                    <a:r>
                      <a:rPr lang="en-US" sz="1000" baseline="0">
                        <a:latin typeface="Tahoma" panose="020B0604030504040204" pitchFamily="34" charset="0"/>
                        <a:ea typeface="Tahoma" panose="020B0604030504040204" pitchFamily="34" charset="0"/>
                        <a:cs typeface="Tahoma" panose="020B0604030504040204" pitchFamily="34" charset="0"/>
                      </a:rPr>
                      <a:t> t; </a:t>
                    </a:r>
                    <a:fld id="{59983B24-4096-436A-B56E-927859720509}" type="PERCENTAGE">
                      <a:rPr lang="en-US" sz="1000" baseline="0">
                        <a:latin typeface="Tahoma" panose="020B0604030504040204" pitchFamily="34" charset="0"/>
                        <a:ea typeface="Tahoma" panose="020B0604030504040204" pitchFamily="34" charset="0"/>
                        <a:cs typeface="Tahoma" panose="020B0604030504040204" pitchFamily="34" charset="0"/>
                      </a:rPr>
                      <a:pPr/>
                      <a:t>[PROCENTO]</a:t>
                    </a:fld>
                    <a:endParaRPr lang="en-US" sz="1000" baseline="0">
                      <a:latin typeface="Tahoma" panose="020B0604030504040204" pitchFamily="34" charset="0"/>
                      <a:ea typeface="Tahoma" panose="020B0604030504040204" pitchFamily="34" charset="0"/>
                      <a:cs typeface="Tahoma" panose="020B0604030504040204" pitchFamily="34" charset="0"/>
                    </a:endParaRPr>
                  </a:p>
                </c:rich>
              </c:tx>
              <c:dLblPos val="bestFit"/>
              <c:showLegendKey val="1"/>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B94E-4011-9D30-22B0DB96DF4E}"/>
                </c:ext>
              </c:extLst>
            </c:dLbl>
            <c:dLbl>
              <c:idx val="7"/>
              <c:layout>
                <c:manualLayout>
                  <c:x val="-5.6959133338306871E-2"/>
                  <c:y val="-0.19729632274828843"/>
                </c:manualLayout>
              </c:layout>
              <c:tx>
                <c:rich>
                  <a:bodyPr/>
                  <a:lstStyle/>
                  <a:p>
                    <a:fld id="{50579B46-F208-4914-B440-905DBF42827E}" type="CATEGORYNAME">
                      <a:rPr lang="en-US" sz="1000">
                        <a:latin typeface="Tahoma" panose="020B0604030504040204" pitchFamily="34" charset="0"/>
                        <a:ea typeface="Tahoma" panose="020B0604030504040204" pitchFamily="34" charset="0"/>
                        <a:cs typeface="Tahoma" panose="020B0604030504040204" pitchFamily="34" charset="0"/>
                      </a:rPr>
                      <a:pPr/>
                      <a:t>[NÁZEV KATEGORIE]</a:t>
                    </a:fld>
                    <a:r>
                      <a:rPr lang="en-US" sz="1000" baseline="0">
                        <a:latin typeface="Tahoma" panose="020B0604030504040204" pitchFamily="34" charset="0"/>
                        <a:ea typeface="Tahoma" panose="020B0604030504040204" pitchFamily="34" charset="0"/>
                        <a:cs typeface="Tahoma" panose="020B0604030504040204" pitchFamily="34" charset="0"/>
                      </a:rPr>
                      <a:t>; </a:t>
                    </a:r>
                  </a:p>
                  <a:p>
                    <a:fld id="{427A7238-9123-4B7F-B94C-29ED3BCA7750}" type="VALUE">
                      <a:rPr lang="en-US" sz="1000" baseline="0">
                        <a:latin typeface="Tahoma" panose="020B0604030504040204" pitchFamily="34" charset="0"/>
                        <a:ea typeface="Tahoma" panose="020B0604030504040204" pitchFamily="34" charset="0"/>
                        <a:cs typeface="Tahoma" panose="020B0604030504040204" pitchFamily="34" charset="0"/>
                      </a:rPr>
                      <a:pPr/>
                      <a:t>[HODNOTA]</a:t>
                    </a:fld>
                    <a:r>
                      <a:rPr lang="en-US" sz="1000" baseline="0">
                        <a:latin typeface="Tahoma" panose="020B0604030504040204" pitchFamily="34" charset="0"/>
                        <a:ea typeface="Tahoma" panose="020B0604030504040204" pitchFamily="34" charset="0"/>
                        <a:cs typeface="Tahoma" panose="020B0604030504040204" pitchFamily="34" charset="0"/>
                      </a:rPr>
                      <a:t> t; </a:t>
                    </a:r>
                    <a:fld id="{318B9272-85D6-4EF0-A74F-5FCE0138C99D}" type="PERCENTAGE">
                      <a:rPr lang="en-US" sz="1000" baseline="0">
                        <a:latin typeface="Tahoma" panose="020B0604030504040204" pitchFamily="34" charset="0"/>
                        <a:ea typeface="Tahoma" panose="020B0604030504040204" pitchFamily="34" charset="0"/>
                        <a:cs typeface="Tahoma" panose="020B0604030504040204" pitchFamily="34" charset="0"/>
                      </a:rPr>
                      <a:pPr/>
                      <a:t>[PROCENTO]</a:t>
                    </a:fld>
                    <a:endParaRPr lang="en-US" sz="1000" baseline="0">
                      <a:latin typeface="Tahoma" panose="020B0604030504040204" pitchFamily="34" charset="0"/>
                      <a:ea typeface="Tahoma" panose="020B0604030504040204" pitchFamily="34" charset="0"/>
                      <a:cs typeface="Tahoma" panose="020B0604030504040204" pitchFamily="34" charset="0"/>
                    </a:endParaRPr>
                  </a:p>
                </c:rich>
              </c:tx>
              <c:dLblPos val="bestFit"/>
              <c:showLegendKey val="1"/>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B94E-4011-9D30-22B0DB96DF4E}"/>
                </c:ext>
              </c:extLst>
            </c:dLbl>
            <c:dLbl>
              <c:idx val="8"/>
              <c:layout>
                <c:manualLayout>
                  <c:x val="-1.273346746483188E-2"/>
                  <c:y val="-7.4384604596181209E-2"/>
                </c:manualLayout>
              </c:layout>
              <c:tx>
                <c:rich>
                  <a:bodyPr/>
                  <a:lstStyle/>
                  <a:p>
                    <a:fld id="{F646E209-D92C-454A-8431-387635A3F8E2}" type="CATEGORYNAME">
                      <a:rPr lang="en-US" sz="1000">
                        <a:latin typeface="Tahoma" panose="020B0604030504040204" pitchFamily="34" charset="0"/>
                        <a:ea typeface="Tahoma" panose="020B0604030504040204" pitchFamily="34" charset="0"/>
                        <a:cs typeface="Tahoma" panose="020B0604030504040204" pitchFamily="34" charset="0"/>
                      </a:rPr>
                      <a:pPr/>
                      <a:t>[NÁZEV KATEGORIE]</a:t>
                    </a:fld>
                    <a:r>
                      <a:rPr lang="en-US" sz="1000" baseline="0">
                        <a:latin typeface="Tahoma" panose="020B0604030504040204" pitchFamily="34" charset="0"/>
                        <a:ea typeface="Tahoma" panose="020B0604030504040204" pitchFamily="34" charset="0"/>
                        <a:cs typeface="Tahoma" panose="020B0604030504040204" pitchFamily="34" charset="0"/>
                      </a:rPr>
                      <a:t>; </a:t>
                    </a:r>
                    <a:fld id="{A30D18A6-8EE8-4F28-8CE4-1251C53FC4B5}" type="VALUE">
                      <a:rPr lang="en-US" sz="1000" baseline="0">
                        <a:latin typeface="Tahoma" panose="020B0604030504040204" pitchFamily="34" charset="0"/>
                        <a:ea typeface="Tahoma" panose="020B0604030504040204" pitchFamily="34" charset="0"/>
                        <a:cs typeface="Tahoma" panose="020B0604030504040204" pitchFamily="34" charset="0"/>
                      </a:rPr>
                      <a:pPr/>
                      <a:t>[HODNOTA]</a:t>
                    </a:fld>
                    <a:r>
                      <a:rPr lang="en-US" sz="1000" baseline="0">
                        <a:latin typeface="Tahoma" panose="020B0604030504040204" pitchFamily="34" charset="0"/>
                        <a:ea typeface="Tahoma" panose="020B0604030504040204" pitchFamily="34" charset="0"/>
                        <a:cs typeface="Tahoma" panose="020B0604030504040204" pitchFamily="34" charset="0"/>
                      </a:rPr>
                      <a:t> t; </a:t>
                    </a:r>
                    <a:fld id="{9CB21AD3-FC01-4863-8C74-FE50878AC9E1}" type="PERCENTAGE">
                      <a:rPr lang="en-US" sz="1000" baseline="0">
                        <a:latin typeface="Tahoma" panose="020B0604030504040204" pitchFamily="34" charset="0"/>
                        <a:ea typeface="Tahoma" panose="020B0604030504040204" pitchFamily="34" charset="0"/>
                        <a:cs typeface="Tahoma" panose="020B0604030504040204" pitchFamily="34" charset="0"/>
                      </a:rPr>
                      <a:pPr/>
                      <a:t>[PROCENTO]</a:t>
                    </a:fld>
                    <a:endParaRPr lang="en-US" sz="1000" baseline="0">
                      <a:latin typeface="Tahoma" panose="020B0604030504040204" pitchFamily="34" charset="0"/>
                      <a:ea typeface="Tahoma" panose="020B0604030504040204" pitchFamily="34" charset="0"/>
                      <a:cs typeface="Tahoma" panose="020B0604030504040204" pitchFamily="34" charset="0"/>
                    </a:endParaRPr>
                  </a:p>
                </c:rich>
              </c:tx>
              <c:dLblPos val="bestFit"/>
              <c:showLegendKey val="1"/>
              <c:showVal val="1"/>
              <c:showCatName val="1"/>
              <c:showSerName val="0"/>
              <c:showPercent val="1"/>
              <c:showBubbleSize val="0"/>
              <c:extLst>
                <c:ext xmlns:c15="http://schemas.microsoft.com/office/drawing/2012/chart" uri="{CE6537A1-D6FC-4f65-9D91-7224C49458BB}">
                  <c15:layout>
                    <c:manualLayout>
                      <c:w val="0.19519047500765874"/>
                      <c:h val="4.8075975235919936E-2"/>
                    </c:manualLayout>
                  </c15:layout>
                  <c15:dlblFieldTable/>
                  <c15:showDataLabelsRange val="0"/>
                </c:ext>
                <c:ext xmlns:c16="http://schemas.microsoft.com/office/drawing/2014/chart" uri="{C3380CC4-5D6E-409C-BE32-E72D297353CC}">
                  <c16:uniqueId val="{00000011-B94E-4011-9D30-22B0DB96DF4E}"/>
                </c:ext>
              </c:extLst>
            </c:dLbl>
            <c:dLbl>
              <c:idx val="9"/>
              <c:layout>
                <c:manualLayout>
                  <c:x val="1.9071295820480311E-2"/>
                  <c:y val="-5.2324237142112977E-2"/>
                </c:manualLayout>
              </c:layout>
              <c:tx>
                <c:rich>
                  <a:bodyPr/>
                  <a:lstStyle/>
                  <a:p>
                    <a:fld id="{94E702F1-0A3B-4CBE-8819-078BE22B01CD}" type="CATEGORYNAME">
                      <a:rPr lang="en-US" sz="1000">
                        <a:latin typeface="Tahoma" panose="020B0604030504040204" pitchFamily="34" charset="0"/>
                        <a:ea typeface="Tahoma" panose="020B0604030504040204" pitchFamily="34" charset="0"/>
                        <a:cs typeface="Tahoma" panose="020B0604030504040204" pitchFamily="34" charset="0"/>
                      </a:rPr>
                      <a:pPr/>
                      <a:t>[NÁZEV KATEGORIE]</a:t>
                    </a:fld>
                    <a:r>
                      <a:rPr lang="en-US" sz="1000" baseline="0">
                        <a:latin typeface="Tahoma" panose="020B0604030504040204" pitchFamily="34" charset="0"/>
                        <a:ea typeface="Tahoma" panose="020B0604030504040204" pitchFamily="34" charset="0"/>
                        <a:cs typeface="Tahoma" panose="020B0604030504040204" pitchFamily="34" charset="0"/>
                      </a:rPr>
                      <a:t>; </a:t>
                    </a:r>
                  </a:p>
                  <a:p>
                    <a:fld id="{06ADD22E-3D18-4CA4-9328-EC9051A35063}" type="VALUE">
                      <a:rPr lang="en-US" sz="1000" baseline="0">
                        <a:latin typeface="Tahoma" panose="020B0604030504040204" pitchFamily="34" charset="0"/>
                        <a:ea typeface="Tahoma" panose="020B0604030504040204" pitchFamily="34" charset="0"/>
                        <a:cs typeface="Tahoma" panose="020B0604030504040204" pitchFamily="34" charset="0"/>
                      </a:rPr>
                      <a:pPr/>
                      <a:t>[HODNOTA]</a:t>
                    </a:fld>
                    <a:r>
                      <a:rPr lang="en-US" sz="1000" baseline="0">
                        <a:latin typeface="Tahoma" panose="020B0604030504040204" pitchFamily="34" charset="0"/>
                        <a:ea typeface="Tahoma" panose="020B0604030504040204" pitchFamily="34" charset="0"/>
                        <a:cs typeface="Tahoma" panose="020B0604030504040204" pitchFamily="34" charset="0"/>
                      </a:rPr>
                      <a:t> t; </a:t>
                    </a:r>
                    <a:fld id="{68A61F02-DD7C-4A42-A63B-E7412A267425}" type="PERCENTAGE">
                      <a:rPr lang="en-US" sz="1000" baseline="0">
                        <a:latin typeface="Tahoma" panose="020B0604030504040204" pitchFamily="34" charset="0"/>
                        <a:ea typeface="Tahoma" panose="020B0604030504040204" pitchFamily="34" charset="0"/>
                        <a:cs typeface="Tahoma" panose="020B0604030504040204" pitchFamily="34" charset="0"/>
                      </a:rPr>
                      <a:pPr/>
                      <a:t>[PROCENTO]</a:t>
                    </a:fld>
                    <a:endParaRPr lang="en-US" sz="1000" baseline="0">
                      <a:latin typeface="Tahoma" panose="020B0604030504040204" pitchFamily="34" charset="0"/>
                      <a:ea typeface="Tahoma" panose="020B0604030504040204" pitchFamily="34" charset="0"/>
                      <a:cs typeface="Tahoma" panose="020B0604030504040204" pitchFamily="34" charset="0"/>
                    </a:endParaRPr>
                  </a:p>
                </c:rich>
              </c:tx>
              <c:dLblPos val="bestFit"/>
              <c:showLegendKey val="1"/>
              <c:showVal val="1"/>
              <c:showCatName val="1"/>
              <c:showSerName val="0"/>
              <c:showPercent val="1"/>
              <c:showBubbleSize val="0"/>
              <c:extLst>
                <c:ext xmlns:c15="http://schemas.microsoft.com/office/drawing/2012/chart" uri="{CE6537A1-D6FC-4f65-9D91-7224C49458BB}">
                  <c15:layout>
                    <c:manualLayout>
                      <c:w val="0.26751235748528279"/>
                      <c:h val="7.6322654324697967E-2"/>
                    </c:manualLayout>
                  </c15:layout>
                  <c15:dlblFieldTable/>
                  <c15:showDataLabelsRange val="0"/>
                </c:ext>
                <c:ext xmlns:c16="http://schemas.microsoft.com/office/drawing/2014/chart" uri="{C3380CC4-5D6E-409C-BE32-E72D297353CC}">
                  <c16:uniqueId val="{00000013-B94E-4011-9D30-22B0DB96DF4E}"/>
                </c:ext>
              </c:extLst>
            </c:dLbl>
            <c:dLbl>
              <c:idx val="10"/>
              <c:layout>
                <c:manualLayout>
                  <c:x val="0.10289329899023722"/>
                  <c:y val="-2.7380668892821279E-3"/>
                </c:manualLayout>
              </c:layout>
              <c:tx>
                <c:rich>
                  <a:bodyPr/>
                  <a:lstStyle/>
                  <a:p>
                    <a:fld id="{D1D5B8AF-74BC-4F13-855E-C4BC1860BA52}" type="CATEGORYNAME">
                      <a:rPr lang="en-US" sz="1000">
                        <a:latin typeface="Tahoma" panose="020B0604030504040204" pitchFamily="34" charset="0"/>
                        <a:ea typeface="Tahoma" panose="020B0604030504040204" pitchFamily="34" charset="0"/>
                        <a:cs typeface="Tahoma" panose="020B0604030504040204" pitchFamily="34" charset="0"/>
                      </a:rPr>
                      <a:pPr/>
                      <a:t>[NÁZEV KATEGORIE]</a:t>
                    </a:fld>
                    <a:r>
                      <a:rPr lang="en-US" sz="1000" baseline="0">
                        <a:latin typeface="Tahoma" panose="020B0604030504040204" pitchFamily="34" charset="0"/>
                        <a:ea typeface="Tahoma" panose="020B0604030504040204" pitchFamily="34" charset="0"/>
                        <a:cs typeface="Tahoma" panose="020B0604030504040204" pitchFamily="34" charset="0"/>
                      </a:rPr>
                      <a:t>; </a:t>
                    </a:r>
                    <a:fld id="{8CF93FC2-00F9-4150-B17C-A70F921014FA}" type="VALUE">
                      <a:rPr lang="en-US" sz="1000" baseline="0">
                        <a:latin typeface="Tahoma" panose="020B0604030504040204" pitchFamily="34" charset="0"/>
                        <a:ea typeface="Tahoma" panose="020B0604030504040204" pitchFamily="34" charset="0"/>
                        <a:cs typeface="Tahoma" panose="020B0604030504040204" pitchFamily="34" charset="0"/>
                      </a:rPr>
                      <a:pPr/>
                      <a:t>[HODNOTA]</a:t>
                    </a:fld>
                    <a:r>
                      <a:rPr lang="en-US" sz="1000" baseline="0">
                        <a:latin typeface="Tahoma" panose="020B0604030504040204" pitchFamily="34" charset="0"/>
                        <a:ea typeface="Tahoma" panose="020B0604030504040204" pitchFamily="34" charset="0"/>
                        <a:cs typeface="Tahoma" panose="020B0604030504040204" pitchFamily="34" charset="0"/>
                      </a:rPr>
                      <a:t> t; </a:t>
                    </a:r>
                    <a:fld id="{0B026F31-69B1-4DDE-BAC6-2E59415AC38C}" type="PERCENTAGE">
                      <a:rPr lang="en-US" sz="1000" baseline="0">
                        <a:latin typeface="Tahoma" panose="020B0604030504040204" pitchFamily="34" charset="0"/>
                        <a:ea typeface="Tahoma" panose="020B0604030504040204" pitchFamily="34" charset="0"/>
                        <a:cs typeface="Tahoma" panose="020B0604030504040204" pitchFamily="34" charset="0"/>
                      </a:rPr>
                      <a:pPr/>
                      <a:t>[PROCENTO]</a:t>
                    </a:fld>
                    <a:endParaRPr lang="en-US" sz="1000" baseline="0">
                      <a:latin typeface="Tahoma" panose="020B0604030504040204" pitchFamily="34" charset="0"/>
                      <a:ea typeface="Tahoma" panose="020B0604030504040204" pitchFamily="34" charset="0"/>
                      <a:cs typeface="Tahoma" panose="020B0604030504040204" pitchFamily="34" charset="0"/>
                    </a:endParaRPr>
                  </a:p>
                </c:rich>
              </c:tx>
              <c:dLblPos val="bestFit"/>
              <c:showLegendKey val="1"/>
              <c:showVal val="1"/>
              <c:showCatName val="1"/>
              <c:showSerName val="0"/>
              <c:showPercent val="1"/>
              <c:showBubbleSize val="0"/>
              <c:extLst>
                <c:ext xmlns:c15="http://schemas.microsoft.com/office/drawing/2012/chart" uri="{CE6537A1-D6FC-4f65-9D91-7224C49458BB}">
                  <c15:layout>
                    <c:manualLayout>
                      <c:w val="0.21261995247439497"/>
                      <c:h val="9.3369998597503556E-2"/>
                    </c:manualLayout>
                  </c15:layout>
                  <c15:dlblFieldTable/>
                  <c15:showDataLabelsRange val="0"/>
                </c:ext>
                <c:ext xmlns:c16="http://schemas.microsoft.com/office/drawing/2014/chart" uri="{C3380CC4-5D6E-409C-BE32-E72D297353CC}">
                  <c16:uniqueId val="{00000015-B94E-4011-9D30-22B0DB96DF4E}"/>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40" b="0" i="0" u="none" strike="noStrike" kern="1200" baseline="0">
                    <a:solidFill>
                      <a:schemeClr val="dk1">
                        <a:lumMod val="65000"/>
                        <a:lumOff val="35000"/>
                      </a:schemeClr>
                    </a:solidFill>
                    <a:latin typeface="+mn-lt"/>
                    <a:ea typeface="+mn-ea"/>
                    <a:cs typeface="+mn-cs"/>
                  </a:defRPr>
                </a:pPr>
                <a:endParaRPr lang="cs-CZ"/>
              </a:p>
            </c:txPr>
            <c:dLblPos val="bestFit"/>
            <c:showLegendKey val="1"/>
            <c:showVal val="1"/>
            <c:showCatName val="1"/>
            <c:showSerName val="0"/>
            <c:showPercent val="1"/>
            <c:showBubbleSize val="0"/>
            <c:showLeaderLines val="1"/>
            <c:leaderLines>
              <c:spPr>
                <a:ln w="19050"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oundRect">
                    <a:avLst/>
                  </a:prstGeom>
                  <a:noFill/>
                  <a:ln>
                    <a:noFill/>
                  </a:ln>
                </c15:spPr>
              </c:ext>
            </c:extLst>
          </c:dLbls>
          <c:cat>
            <c:strRef>
              <c:f>'2023'!$G$4:$G$14</c:f>
              <c:strCache>
                <c:ptCount val="11"/>
                <c:pt idx="0">
                  <c:v>směsný komunální odpad</c:v>
                </c:pt>
                <c:pt idx="1">
                  <c:v>papír</c:v>
                </c:pt>
                <c:pt idx="2">
                  <c:v>plasty</c:v>
                </c:pt>
                <c:pt idx="3">
                  <c:v>sklo</c:v>
                </c:pt>
                <c:pt idx="4">
                  <c:v>objem</c:v>
                </c:pt>
                <c:pt idx="5">
                  <c:v>kompostovatelný odpad</c:v>
                </c:pt>
                <c:pt idx="6">
                  <c:v>NO</c:v>
                </c:pt>
                <c:pt idx="7">
                  <c:v>uliční smetky</c:v>
                </c:pt>
                <c:pt idx="8">
                  <c:v>kovy</c:v>
                </c:pt>
                <c:pt idx="9">
                  <c:v>stavební odpady</c:v>
                </c:pt>
                <c:pt idx="10">
                  <c:v>ostatní odpady, dřevo</c:v>
                </c:pt>
              </c:strCache>
            </c:strRef>
          </c:cat>
          <c:val>
            <c:numRef>
              <c:f>'2023'!$H$4:$H$14</c:f>
              <c:numCache>
                <c:formatCode>#,##0.00</c:formatCode>
                <c:ptCount val="11"/>
                <c:pt idx="0">
                  <c:v>9460.8160000000007</c:v>
                </c:pt>
                <c:pt idx="1">
                  <c:v>951.68640000000005</c:v>
                </c:pt>
                <c:pt idx="2">
                  <c:v>720.10109999999997</c:v>
                </c:pt>
                <c:pt idx="3">
                  <c:v>703.51140000000009</c:v>
                </c:pt>
                <c:pt idx="4">
                  <c:v>2252.37</c:v>
                </c:pt>
                <c:pt idx="5">
                  <c:v>5073.3599999999997</c:v>
                </c:pt>
                <c:pt idx="6">
                  <c:v>21.842499999999998</c:v>
                </c:pt>
                <c:pt idx="7">
                  <c:v>136.96</c:v>
                </c:pt>
                <c:pt idx="8">
                  <c:v>74.417000000000002</c:v>
                </c:pt>
                <c:pt idx="9">
                  <c:v>7385.5300000000007</c:v>
                </c:pt>
                <c:pt idx="10">
                  <c:v>401.06700000000001</c:v>
                </c:pt>
              </c:numCache>
            </c:numRef>
          </c:val>
          <c:extLst>
            <c:ext xmlns:c16="http://schemas.microsoft.com/office/drawing/2014/chart" uri="{C3380CC4-5D6E-409C-BE32-E72D297353CC}">
              <c16:uniqueId val="{00000016-B94E-4011-9D30-22B0DB96DF4E}"/>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cs-CZ"/>
    </a:p>
  </c:txPr>
  <c:externalData r:id="rId5">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50"/>
            </a:pPr>
            <a:r>
              <a:rPr lang="cs-CZ" sz="1050" b="1">
                <a:latin typeface="Tahoma" panose="020B0604030504040204" pitchFamily="34" charset="0"/>
                <a:ea typeface="Tahoma" panose="020B0604030504040204" pitchFamily="34" charset="0"/>
                <a:cs typeface="Tahoma" panose="020B0604030504040204" pitchFamily="34" charset="0"/>
              </a:rPr>
              <a:t>Hrazení nákladů na odpadové hospodářství v roce 2023</a:t>
            </a:r>
            <a:endParaRPr lang="cs-CZ" sz="1050">
              <a:latin typeface="Tahoma" panose="020B0604030504040204" pitchFamily="34" charset="0"/>
              <a:ea typeface="Tahoma" panose="020B0604030504040204" pitchFamily="34" charset="0"/>
              <a:cs typeface="Tahoma" panose="020B0604030504040204" pitchFamily="34" charset="0"/>
            </a:endParaRPr>
          </a:p>
        </c:rich>
      </c:tx>
      <c:overlay val="0"/>
    </c:title>
    <c:autoTitleDeleted val="0"/>
    <c:view3D>
      <c:rotX val="5"/>
      <c:rotY val="5"/>
      <c:rAngAx val="1"/>
    </c:view3D>
    <c:floor>
      <c:thickness val="0"/>
      <c:spPr>
        <a:solidFill>
          <a:schemeClr val="bg2"/>
        </a:solidFill>
      </c:spPr>
    </c:floor>
    <c:sideWall>
      <c:thickness val="0"/>
      <c:spPr>
        <a:solidFill>
          <a:srgbClr val="E7E6E6"/>
        </a:solidFill>
      </c:spPr>
    </c:sideWall>
    <c:backWall>
      <c:thickness val="0"/>
      <c:spPr>
        <a:solidFill>
          <a:srgbClr val="E7E6E6"/>
        </a:solidFill>
      </c:spPr>
    </c:backWall>
    <c:plotArea>
      <c:layout>
        <c:manualLayout>
          <c:layoutTarget val="inner"/>
          <c:xMode val="edge"/>
          <c:yMode val="edge"/>
          <c:x val="0.136533971866139"/>
          <c:y val="0.11307129629629629"/>
          <c:w val="0.79854818839361974"/>
          <c:h val="0.86081722222222201"/>
        </c:manualLayout>
      </c:layout>
      <c:bar3DChart>
        <c:barDir val="col"/>
        <c:grouping val="stacked"/>
        <c:varyColors val="0"/>
        <c:ser>
          <c:idx val="2"/>
          <c:order val="0"/>
          <c:tx>
            <c:strRef>
              <c:f>grafy!$M$25</c:f>
              <c:strCache>
                <c:ptCount val="1"/>
                <c:pt idx="0">
                  <c:v>51 946 077</c:v>
                </c:pt>
              </c:strCache>
            </c:strRef>
          </c:tx>
          <c:spPr>
            <a:solidFill>
              <a:srgbClr val="62983E"/>
            </a:solidFill>
            <a:ln>
              <a:noFill/>
            </a:ln>
          </c:spPr>
          <c:invertIfNegative val="0"/>
          <c:dLbls>
            <c:dLbl>
              <c:idx val="0"/>
              <c:layout>
                <c:manualLayout>
                  <c:x val="-1.1018456948762648E-2"/>
                  <c:y val="9.2592592506359025E-8"/>
                </c:manualLayout>
              </c:layout>
              <c:tx>
                <c:rich>
                  <a:bodyPr wrap="square" lIns="38100" tIns="19050" rIns="38100" bIns="19050" anchor="ctr" anchorCtr="0">
                    <a:noAutofit/>
                  </a:bodyPr>
                  <a:lstStyle/>
                  <a:p>
                    <a:pPr algn="ctr">
                      <a:defRPr sz="1250" b="1">
                        <a:latin typeface="Tahoma" panose="020B0604030504040204" pitchFamily="34" charset="0"/>
                        <a:ea typeface="Tahoma" panose="020B0604030504040204" pitchFamily="34" charset="0"/>
                        <a:cs typeface="Tahoma" panose="020B0604030504040204" pitchFamily="34" charset="0"/>
                      </a:defRPr>
                    </a:pPr>
                    <a:r>
                      <a:rPr lang="en-US" sz="1250">
                        <a:latin typeface="Tahoma" panose="020B0604030504040204" pitchFamily="34" charset="0"/>
                        <a:ea typeface="Tahoma" panose="020B0604030504040204" pitchFamily="34" charset="0"/>
                        <a:cs typeface="Tahoma" panose="020B0604030504040204" pitchFamily="34" charset="0"/>
                      </a:rPr>
                      <a:t>vybrané poplatky</a:t>
                    </a:r>
                  </a:p>
                  <a:p>
                    <a:pPr algn="ctr">
                      <a:defRPr sz="1250" b="1">
                        <a:latin typeface="Tahoma" panose="020B0604030504040204" pitchFamily="34" charset="0"/>
                        <a:ea typeface="Tahoma" panose="020B0604030504040204" pitchFamily="34" charset="0"/>
                        <a:cs typeface="Tahoma" panose="020B0604030504040204" pitchFamily="34" charset="0"/>
                      </a:defRPr>
                    </a:pPr>
                    <a:r>
                      <a:rPr lang="en-US" sz="1250">
                        <a:latin typeface="Tahoma" panose="020B0604030504040204" pitchFamily="34" charset="0"/>
                        <a:ea typeface="Tahoma" panose="020B0604030504040204" pitchFamily="34" charset="0"/>
                        <a:cs typeface="Tahoma" panose="020B0604030504040204" pitchFamily="34" charset="0"/>
                      </a:rPr>
                      <a:t>31</a:t>
                    </a:r>
                    <a:r>
                      <a:rPr lang="en-US" sz="1250" baseline="0">
                        <a:latin typeface="Tahoma" panose="020B0604030504040204" pitchFamily="34" charset="0"/>
                        <a:ea typeface="Tahoma" panose="020B0604030504040204" pitchFamily="34" charset="0"/>
                        <a:cs typeface="Tahoma" panose="020B0604030504040204" pitchFamily="34" charset="0"/>
                      </a:rPr>
                      <a:t> 220 267</a:t>
                    </a:r>
                    <a:r>
                      <a:rPr lang="en-US" sz="1250">
                        <a:latin typeface="Tahoma" panose="020B0604030504040204" pitchFamily="34" charset="0"/>
                        <a:ea typeface="Tahoma" panose="020B0604030504040204" pitchFamily="34" charset="0"/>
                        <a:cs typeface="Tahoma" panose="020B0604030504040204" pitchFamily="34" charset="0"/>
                      </a:rPr>
                      <a:t> Kč</a:t>
                    </a:r>
                  </a:p>
                </c:rich>
              </c:tx>
              <c:numFmt formatCode="#,##0\ &quot;Kč&quot;" sourceLinked="0"/>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23016892790058788"/>
                      <c:h val="0.16210148148148146"/>
                    </c:manualLayout>
                  </c15:layout>
                  <c15:showDataLabelsRange val="0"/>
                </c:ext>
                <c:ext xmlns:c16="http://schemas.microsoft.com/office/drawing/2014/chart" uri="{C3380CC4-5D6E-409C-BE32-E72D297353CC}">
                  <c16:uniqueId val="{00000000-593C-4A36-89B5-278052E9897D}"/>
                </c:ext>
              </c:extLst>
            </c:dLbl>
            <c:spPr>
              <a:noFill/>
              <a:ln>
                <a:noFill/>
              </a:ln>
              <a:effectLst/>
            </c:spPr>
            <c:txPr>
              <a:bodyPr wrap="square" lIns="38100" tIns="19050" rIns="38100" bIns="19050" anchor="ctr" anchorCtr="0">
                <a:spAutoFit/>
              </a:bodyPr>
              <a:lstStyle/>
              <a:p>
                <a:pPr algn="ctr">
                  <a:defRPr sz="1250" b="1">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grafy!$N$25</c:f>
              <c:numCache>
                <c:formatCode>#,##0</c:formatCode>
                <c:ptCount val="1"/>
                <c:pt idx="0">
                  <c:v>32524317.98</c:v>
                </c:pt>
              </c:numCache>
            </c:numRef>
          </c:cat>
          <c:val>
            <c:numRef>
              <c:f>grafy!$N$25</c:f>
              <c:numCache>
                <c:formatCode>#,##0</c:formatCode>
                <c:ptCount val="1"/>
                <c:pt idx="0">
                  <c:v>32524317.98</c:v>
                </c:pt>
              </c:numCache>
            </c:numRef>
          </c:val>
          <c:extLst>
            <c:ext xmlns:c16="http://schemas.microsoft.com/office/drawing/2014/chart" uri="{C3380CC4-5D6E-409C-BE32-E72D297353CC}">
              <c16:uniqueId val="{00000001-593C-4A36-89B5-278052E9897D}"/>
            </c:ext>
          </c:extLst>
        </c:ser>
        <c:ser>
          <c:idx val="3"/>
          <c:order val="1"/>
          <c:spPr>
            <a:solidFill>
              <a:srgbClr val="E62C00"/>
            </a:solidFill>
          </c:spPr>
          <c:invertIfNegative val="0"/>
          <c:dLbls>
            <c:dLbl>
              <c:idx val="0"/>
              <c:layout>
                <c:manualLayout>
                  <c:x val="-1.1978319169750848E-2"/>
                  <c:y val="-5.0433690022628113E-3"/>
                </c:manualLayout>
              </c:layout>
              <c:tx>
                <c:rich>
                  <a:bodyPr wrap="square" lIns="38100" tIns="19050" rIns="38100" bIns="19050" anchor="ctr">
                    <a:noAutofit/>
                  </a:bodyPr>
                  <a:lstStyle/>
                  <a:p>
                    <a:pPr>
                      <a:defRPr sz="1250" b="1">
                        <a:latin typeface="Tahoma" panose="020B0604030504040204" pitchFamily="34" charset="0"/>
                        <a:ea typeface="Tahoma" panose="020B0604030504040204" pitchFamily="34" charset="0"/>
                        <a:cs typeface="Tahoma" panose="020B0604030504040204" pitchFamily="34" charset="0"/>
                      </a:defRPr>
                    </a:pPr>
                    <a:r>
                      <a:rPr lang="en-US" sz="1250">
                        <a:latin typeface="Tahoma" panose="020B0604030504040204" pitchFamily="34" charset="0"/>
                        <a:ea typeface="Tahoma" panose="020B0604030504040204" pitchFamily="34" charset="0"/>
                        <a:cs typeface="Tahoma" panose="020B0604030504040204" pitchFamily="34" charset="0"/>
                      </a:rPr>
                      <a:t>doplatek města </a:t>
                    </a:r>
                  </a:p>
                  <a:p>
                    <a:pPr>
                      <a:defRPr sz="1250" b="1">
                        <a:latin typeface="Tahoma" panose="020B0604030504040204" pitchFamily="34" charset="0"/>
                        <a:ea typeface="Tahoma" panose="020B0604030504040204" pitchFamily="34" charset="0"/>
                        <a:cs typeface="Tahoma" panose="020B0604030504040204" pitchFamily="34" charset="0"/>
                      </a:defRPr>
                    </a:pPr>
                    <a:r>
                      <a:rPr lang="en-US" sz="1250">
                        <a:latin typeface="Tahoma" panose="020B0604030504040204" pitchFamily="34" charset="0"/>
                        <a:ea typeface="Tahoma" panose="020B0604030504040204" pitchFamily="34" charset="0"/>
                        <a:cs typeface="Tahoma" panose="020B0604030504040204" pitchFamily="34" charset="0"/>
                      </a:rPr>
                      <a:t>29 482 844 Kč</a:t>
                    </a:r>
                  </a:p>
                </c:rich>
              </c:tx>
              <c:numFmt formatCode="#,##0\ &quot;Kč&quot;" sourceLinked="0"/>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25878697861663258"/>
                      <c:h val="0.13537673172215564"/>
                    </c:manualLayout>
                  </c15:layout>
                  <c15:showDataLabelsRange val="0"/>
                </c:ext>
                <c:ext xmlns:c16="http://schemas.microsoft.com/office/drawing/2014/chart" uri="{C3380CC4-5D6E-409C-BE32-E72D297353CC}">
                  <c16:uniqueId val="{00000002-593C-4A36-89B5-278052E9897D}"/>
                </c:ext>
              </c:extLst>
            </c:dLbl>
            <c:spPr>
              <a:noFill/>
              <a:ln>
                <a:noFill/>
              </a:ln>
              <a:effectLst/>
            </c:spPr>
            <c:txPr>
              <a:bodyPr wrap="square" lIns="38100" tIns="19050" rIns="38100" bIns="19050" anchor="ctr">
                <a:spAutoFit/>
              </a:bodyPr>
              <a:lstStyle/>
              <a:p>
                <a:pPr>
                  <a:defRPr sz="1250" b="1">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grafy!$N$25</c:f>
              <c:numCache>
                <c:formatCode>#,##0</c:formatCode>
                <c:ptCount val="1"/>
                <c:pt idx="0">
                  <c:v>32524317.98</c:v>
                </c:pt>
              </c:numCache>
            </c:numRef>
          </c:cat>
          <c:val>
            <c:numRef>
              <c:f>grafy!$O$24</c:f>
              <c:numCache>
                <c:formatCode>#,##0</c:formatCode>
                <c:ptCount val="1"/>
                <c:pt idx="0">
                  <c:v>23750663</c:v>
                </c:pt>
              </c:numCache>
            </c:numRef>
          </c:val>
          <c:extLst>
            <c:ext xmlns:c16="http://schemas.microsoft.com/office/drawing/2014/chart" uri="{C3380CC4-5D6E-409C-BE32-E72D297353CC}">
              <c16:uniqueId val="{00000003-593C-4A36-89B5-278052E9897D}"/>
            </c:ext>
          </c:extLst>
        </c:ser>
        <c:ser>
          <c:idx val="5"/>
          <c:order val="2"/>
          <c:spPr>
            <a:solidFill>
              <a:srgbClr val="E62C00"/>
            </a:solidFill>
          </c:spPr>
          <c:invertIfNegative val="0"/>
          <c:cat>
            <c:numRef>
              <c:f>grafy!$N$25</c:f>
              <c:numCache>
                <c:formatCode>#,##0</c:formatCode>
                <c:ptCount val="1"/>
                <c:pt idx="0">
                  <c:v>32524317.98</c:v>
                </c:pt>
              </c:numCache>
            </c:numRef>
          </c:cat>
          <c:val>
            <c:numRef>
              <c:f>grafy!$O$20</c:f>
              <c:numCache>
                <c:formatCode>#,##0</c:formatCode>
                <c:ptCount val="1"/>
                <c:pt idx="0">
                  <c:v>14995909</c:v>
                </c:pt>
              </c:numCache>
            </c:numRef>
          </c:val>
          <c:extLst>
            <c:ext xmlns:c16="http://schemas.microsoft.com/office/drawing/2014/chart" uri="{C3380CC4-5D6E-409C-BE32-E72D297353CC}">
              <c16:uniqueId val="{00000004-593C-4A36-89B5-278052E9897D}"/>
            </c:ext>
          </c:extLst>
        </c:ser>
        <c:ser>
          <c:idx val="6"/>
          <c:order val="3"/>
          <c:spPr>
            <a:solidFill>
              <a:srgbClr val="62983E"/>
            </a:solidFill>
            <a:ln>
              <a:noFill/>
            </a:ln>
          </c:spPr>
          <c:invertIfNegative val="0"/>
          <c:cat>
            <c:numRef>
              <c:f>grafy!$N$25</c:f>
              <c:numCache>
                <c:formatCode>#,##0</c:formatCode>
                <c:ptCount val="1"/>
                <c:pt idx="0">
                  <c:v>32524317.98</c:v>
                </c:pt>
              </c:numCache>
            </c:numRef>
          </c:cat>
          <c:val>
            <c:numRef>
              <c:f>grafy!$N$20</c:f>
              <c:numCache>
                <c:formatCode>#,##0</c:formatCode>
                <c:ptCount val="1"/>
                <c:pt idx="0">
                  <c:v>26555167</c:v>
                </c:pt>
              </c:numCache>
            </c:numRef>
          </c:val>
          <c:extLst>
            <c:ext xmlns:c16="http://schemas.microsoft.com/office/drawing/2014/chart" uri="{C3380CC4-5D6E-409C-BE32-E72D297353CC}">
              <c16:uniqueId val="{00000005-593C-4A36-89B5-278052E9897D}"/>
            </c:ext>
          </c:extLst>
        </c:ser>
        <c:ser>
          <c:idx val="7"/>
          <c:order val="4"/>
          <c:spPr>
            <a:solidFill>
              <a:srgbClr val="E62C00"/>
            </a:solidFill>
          </c:spPr>
          <c:invertIfNegative val="0"/>
          <c:cat>
            <c:numRef>
              <c:f>grafy!$N$25</c:f>
              <c:numCache>
                <c:formatCode>#,##0</c:formatCode>
                <c:ptCount val="1"/>
                <c:pt idx="0">
                  <c:v>32524317.98</c:v>
                </c:pt>
              </c:numCache>
            </c:numRef>
          </c:cat>
          <c:val>
            <c:numRef>
              <c:f>grafy!$O$20</c:f>
              <c:numCache>
                <c:formatCode>#,##0</c:formatCode>
                <c:ptCount val="1"/>
                <c:pt idx="0">
                  <c:v>14995909</c:v>
                </c:pt>
              </c:numCache>
            </c:numRef>
          </c:val>
          <c:extLst>
            <c:ext xmlns:c16="http://schemas.microsoft.com/office/drawing/2014/chart" uri="{C3380CC4-5D6E-409C-BE32-E72D297353CC}">
              <c16:uniqueId val="{00000006-593C-4A36-89B5-278052E9897D}"/>
            </c:ext>
          </c:extLst>
        </c:ser>
        <c:ser>
          <c:idx val="0"/>
          <c:order val="5"/>
          <c:spPr>
            <a:solidFill>
              <a:srgbClr val="62983E"/>
            </a:solidFill>
            <a:ln>
              <a:noFill/>
            </a:ln>
          </c:spPr>
          <c:invertIfNegative val="0"/>
          <c:cat>
            <c:numRef>
              <c:f>grafy!$N$25</c:f>
              <c:numCache>
                <c:formatCode>#,##0</c:formatCode>
                <c:ptCount val="1"/>
                <c:pt idx="0">
                  <c:v>32524317.98</c:v>
                </c:pt>
              </c:numCache>
            </c:numRef>
          </c:cat>
          <c:val>
            <c:numRef>
              <c:f>[2]grafy!$M$19</c:f>
              <c:numCache>
                <c:formatCode>General</c:formatCode>
                <c:ptCount val="1"/>
                <c:pt idx="0">
                  <c:v>0</c:v>
                </c:pt>
              </c:numCache>
            </c:numRef>
          </c:val>
          <c:extLst>
            <c:ext xmlns:c16="http://schemas.microsoft.com/office/drawing/2014/chart" uri="{C3380CC4-5D6E-409C-BE32-E72D297353CC}">
              <c16:uniqueId val="{00000007-593C-4A36-89B5-278052E9897D}"/>
            </c:ext>
          </c:extLst>
        </c:ser>
        <c:ser>
          <c:idx val="1"/>
          <c:order val="6"/>
          <c:spPr>
            <a:solidFill>
              <a:srgbClr val="E62C00"/>
            </a:solidFill>
          </c:spPr>
          <c:invertIfNegative val="0"/>
          <c:cat>
            <c:numRef>
              <c:f>grafy!$N$25</c:f>
              <c:numCache>
                <c:formatCode>#,##0</c:formatCode>
                <c:ptCount val="1"/>
                <c:pt idx="0">
                  <c:v>32524317.98</c:v>
                </c:pt>
              </c:numCache>
            </c:numRef>
          </c:cat>
          <c:val>
            <c:numRef>
              <c:f>[2]grafy!$N$19</c:f>
              <c:numCache>
                <c:formatCode>General</c:formatCode>
                <c:ptCount val="1"/>
                <c:pt idx="0">
                  <c:v>0</c:v>
                </c:pt>
              </c:numCache>
            </c:numRef>
          </c:val>
          <c:extLst>
            <c:ext xmlns:c16="http://schemas.microsoft.com/office/drawing/2014/chart" uri="{C3380CC4-5D6E-409C-BE32-E72D297353CC}">
              <c16:uniqueId val="{00000008-593C-4A36-89B5-278052E9897D}"/>
            </c:ext>
          </c:extLst>
        </c:ser>
        <c:dLbls>
          <c:showLegendKey val="0"/>
          <c:showVal val="0"/>
          <c:showCatName val="0"/>
          <c:showSerName val="0"/>
          <c:showPercent val="0"/>
          <c:showBubbleSize val="0"/>
        </c:dLbls>
        <c:gapWidth val="114"/>
        <c:gapDepth val="127"/>
        <c:shape val="box"/>
        <c:axId val="126462976"/>
        <c:axId val="126468864"/>
        <c:axId val="0"/>
      </c:bar3DChart>
      <c:catAx>
        <c:axId val="126462976"/>
        <c:scaling>
          <c:orientation val="minMax"/>
        </c:scaling>
        <c:delete val="1"/>
        <c:axPos val="b"/>
        <c:numFmt formatCode="#,##0" sourceLinked="1"/>
        <c:majorTickMark val="none"/>
        <c:minorTickMark val="none"/>
        <c:tickLblPos val="none"/>
        <c:crossAx val="126468864"/>
        <c:crossesAt val="0"/>
        <c:auto val="1"/>
        <c:lblAlgn val="ctr"/>
        <c:lblOffset val="100"/>
        <c:noMultiLvlLbl val="0"/>
      </c:catAx>
      <c:valAx>
        <c:axId val="126468864"/>
        <c:scaling>
          <c:orientation val="minMax"/>
          <c:max val="49000000"/>
          <c:min val="0"/>
        </c:scaling>
        <c:delete val="1"/>
        <c:axPos val="l"/>
        <c:majorGridlines/>
        <c:numFmt formatCode="#,##0" sourceLinked="0"/>
        <c:majorTickMark val="out"/>
        <c:minorTickMark val="none"/>
        <c:tickLblPos val="nextTo"/>
        <c:crossAx val="126462976"/>
        <c:crosses val="autoZero"/>
        <c:crossBetween val="between"/>
        <c:majorUnit val="7000000"/>
        <c:minorUnit val="2000000"/>
      </c:valAx>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sz="1050">
                <a:latin typeface="Tahoma" panose="020B0604030504040204" pitchFamily="34" charset="0"/>
                <a:ea typeface="Tahoma" panose="020B0604030504040204" pitchFamily="34" charset="0"/>
                <a:cs typeface="Tahoma" panose="020B0604030504040204" pitchFamily="34" charset="0"/>
              </a:defRPr>
            </a:pPr>
            <a:r>
              <a:rPr lang="cs-CZ" sz="1050">
                <a:latin typeface="Tahoma" panose="020B0604030504040204" pitchFamily="34" charset="0"/>
                <a:ea typeface="Tahoma" panose="020B0604030504040204" pitchFamily="34" charset="0"/>
                <a:cs typeface="Tahoma" panose="020B0604030504040204" pitchFamily="34" charset="0"/>
              </a:rPr>
              <a:t>Vývoj</a:t>
            </a:r>
            <a:r>
              <a:rPr lang="cs-CZ" sz="1050" baseline="0">
                <a:latin typeface="Tahoma" panose="020B0604030504040204" pitchFamily="34" charset="0"/>
                <a:ea typeface="Tahoma" panose="020B0604030504040204" pitchFamily="34" charset="0"/>
                <a:cs typeface="Tahoma" panose="020B0604030504040204" pitchFamily="34" charset="0"/>
              </a:rPr>
              <a:t> množství směsného komunálního odpadu </a:t>
            </a:r>
            <a:br>
              <a:rPr lang="cs-CZ" sz="1050" baseline="0">
                <a:latin typeface="Tahoma" panose="020B0604030504040204" pitchFamily="34" charset="0"/>
                <a:ea typeface="Tahoma" panose="020B0604030504040204" pitchFamily="34" charset="0"/>
                <a:cs typeface="Tahoma" panose="020B0604030504040204" pitchFamily="34" charset="0"/>
              </a:rPr>
            </a:br>
            <a:r>
              <a:rPr lang="cs-CZ" sz="1050" b="1" i="0" u="none" strike="noStrike" baseline="0">
                <a:latin typeface="Tahoma" panose="020B0604030504040204" pitchFamily="34" charset="0"/>
                <a:ea typeface="Tahoma" panose="020B0604030504040204" pitchFamily="34" charset="0"/>
                <a:cs typeface="Tahoma" panose="020B0604030504040204" pitchFamily="34" charset="0"/>
              </a:rPr>
              <a:t>v letech </a:t>
            </a:r>
            <a:r>
              <a:rPr lang="cs-CZ" sz="1050" baseline="0">
                <a:latin typeface="Tahoma" panose="020B0604030504040204" pitchFamily="34" charset="0"/>
                <a:ea typeface="Tahoma" panose="020B0604030504040204" pitchFamily="34" charset="0"/>
                <a:cs typeface="Tahoma" panose="020B0604030504040204" pitchFamily="34" charset="0"/>
              </a:rPr>
              <a:t>2003</a:t>
            </a:r>
            <a:r>
              <a:rPr lang="cs-CZ" sz="1050" b="1" i="0" u="none" strike="noStrike" baseline="0">
                <a:effectLst/>
                <a:latin typeface="Tahoma" panose="020B0604030504040204" pitchFamily="34" charset="0"/>
                <a:ea typeface="Tahoma" panose="020B0604030504040204" pitchFamily="34" charset="0"/>
                <a:cs typeface="Tahoma" panose="020B0604030504040204" pitchFamily="34" charset="0"/>
              </a:rPr>
              <a:t>–</a:t>
            </a:r>
            <a:r>
              <a:rPr lang="cs-CZ" sz="1050" baseline="0">
                <a:latin typeface="Tahoma" panose="020B0604030504040204" pitchFamily="34" charset="0"/>
                <a:ea typeface="Tahoma" panose="020B0604030504040204" pitchFamily="34" charset="0"/>
                <a:cs typeface="Tahoma" panose="020B0604030504040204" pitchFamily="34" charset="0"/>
              </a:rPr>
              <a:t>2023</a:t>
            </a:r>
            <a:endParaRPr lang="cs-CZ" sz="1050">
              <a:latin typeface="Tahoma" panose="020B0604030504040204" pitchFamily="34" charset="0"/>
              <a:ea typeface="Tahoma" panose="020B0604030504040204" pitchFamily="34" charset="0"/>
              <a:cs typeface="Tahoma" panose="020B0604030504040204" pitchFamily="34" charset="0"/>
            </a:endParaRPr>
          </a:p>
        </c:rich>
      </c:tx>
      <c:layout>
        <c:manualLayout>
          <c:xMode val="edge"/>
          <c:yMode val="edge"/>
          <c:x val="0.20032488317009153"/>
          <c:y val="1.6642781797065621E-2"/>
        </c:manualLayout>
      </c:layout>
      <c:overlay val="0"/>
    </c:title>
    <c:autoTitleDeleted val="0"/>
    <c:view3D>
      <c:rotX val="15"/>
      <c:rotY val="20"/>
      <c:rAngAx val="1"/>
    </c:view3D>
    <c:floor>
      <c:thickness val="0"/>
      <c:spPr>
        <a:solidFill>
          <a:schemeClr val="bg1">
            <a:lumMod val="95000"/>
          </a:schemeClr>
        </a:solidFill>
      </c:spPr>
    </c:floor>
    <c:sideWall>
      <c:thickness val="0"/>
      <c:spPr>
        <a:solidFill>
          <a:schemeClr val="bg1">
            <a:lumMod val="85000"/>
          </a:schemeClr>
        </a:solidFill>
      </c:spPr>
    </c:sideWall>
    <c:backWall>
      <c:thickness val="0"/>
      <c:spPr>
        <a:solidFill>
          <a:schemeClr val="bg1">
            <a:lumMod val="85000"/>
          </a:schemeClr>
        </a:solidFill>
      </c:spPr>
    </c:backWall>
    <c:plotArea>
      <c:layout>
        <c:manualLayout>
          <c:layoutTarget val="inner"/>
          <c:xMode val="edge"/>
          <c:yMode val="edge"/>
          <c:x val="8.8352960452157112E-2"/>
          <c:y val="0.15275277777777777"/>
          <c:w val="0.89721923273352544"/>
          <c:h val="0.78832944444444442"/>
        </c:manualLayout>
      </c:layout>
      <c:bar3DChart>
        <c:barDir val="col"/>
        <c:grouping val="stacked"/>
        <c:varyColors val="0"/>
        <c:ser>
          <c:idx val="0"/>
          <c:order val="0"/>
          <c:spPr>
            <a:blipFill>
              <a:blip xmlns:r="http://schemas.openxmlformats.org/officeDocument/2006/relationships" r:embed="rId1"/>
              <a:tile tx="0" ty="0" sx="100000" sy="100000" flip="none" algn="tl"/>
            </a:blipFill>
            <a:ln>
              <a:noFill/>
            </a:ln>
          </c:spPr>
          <c:invertIfNegative val="0"/>
          <c:dLbls>
            <c:dLbl>
              <c:idx val="0"/>
              <c:layout>
                <c:manualLayout>
                  <c:x val="-1.4694818666190893E-17"/>
                  <c:y val="1.64629629629628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7F-4FBA-8FFE-011D2AC68C76}"/>
                </c:ext>
              </c:extLst>
            </c:dLbl>
            <c:dLbl>
              <c:idx val="2"/>
              <c:layout>
                <c:manualLayout>
                  <c:x val="0"/>
                  <c:y val="-3.52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7F-4FBA-8FFE-011D2AC68C76}"/>
                </c:ext>
              </c:extLst>
            </c:dLbl>
            <c:dLbl>
              <c:idx val="3"/>
              <c:layout>
                <c:manualLayout>
                  <c:x val="2.9389637332381786E-17"/>
                  <c:y val="-2.587037037037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37F-4FBA-8FFE-011D2AC68C76}"/>
                </c:ext>
              </c:extLst>
            </c:dLbl>
            <c:dLbl>
              <c:idx val="4"/>
              <c:layout>
                <c:manualLayout>
                  <c:x val="1.6030896460352815E-3"/>
                  <c:y val="-0.1669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7F-4FBA-8FFE-011D2AC68C76}"/>
                </c:ext>
              </c:extLst>
            </c:dLbl>
            <c:dLbl>
              <c:idx val="5"/>
              <c:layout>
                <c:manualLayout>
                  <c:x val="1.6030896460352815E-3"/>
                  <c:y val="-0.134055555555555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37F-4FBA-8FFE-011D2AC68C76}"/>
                </c:ext>
              </c:extLst>
            </c:dLbl>
            <c:dLbl>
              <c:idx val="6"/>
              <c:layout>
                <c:manualLayout>
                  <c:x val="3.2061792920705045E-3"/>
                  <c:y val="-0.143462962962962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7F-4FBA-8FFE-011D2AC68C76}"/>
                </c:ext>
              </c:extLst>
            </c:dLbl>
            <c:dLbl>
              <c:idx val="7"/>
              <c:layout>
                <c:manualLayout>
                  <c:x val="4.809268938105845E-3"/>
                  <c:y val="-0.119944444444444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37F-4FBA-8FFE-011D2AC68C76}"/>
                </c:ext>
              </c:extLst>
            </c:dLbl>
            <c:dLbl>
              <c:idx val="8"/>
              <c:layout>
                <c:manualLayout>
                  <c:x val="1.6030896460352815E-3"/>
                  <c:y val="-9.40740740740740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37F-4FBA-8FFE-011D2AC68C76}"/>
                </c:ext>
              </c:extLst>
            </c:dLbl>
            <c:dLbl>
              <c:idx val="9"/>
              <c:layout>
                <c:manualLayout>
                  <c:x val="6.4123585841410679E-3"/>
                  <c:y val="-8.70185185185186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37F-4FBA-8FFE-011D2AC68C76}"/>
                </c:ext>
              </c:extLst>
            </c:dLbl>
            <c:dLbl>
              <c:idx val="10"/>
              <c:layout>
                <c:manualLayout>
                  <c:x val="1.6030896460352815E-3"/>
                  <c:y val="-7.52592592592592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37F-4FBA-8FFE-011D2AC68C76}"/>
                </c:ext>
              </c:extLst>
            </c:dLbl>
            <c:dLbl>
              <c:idx val="11"/>
              <c:layout>
                <c:manualLayout>
                  <c:x val="-1.1755854932952714E-16"/>
                  <c:y val="-7.52592592592593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37F-4FBA-8FFE-011D2AC68C76}"/>
                </c:ext>
              </c:extLst>
            </c:dLbl>
            <c:dLbl>
              <c:idx val="12"/>
              <c:layout>
                <c:manualLayout>
                  <c:x val="0"/>
                  <c:y val="-4.46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37F-4FBA-8FFE-011D2AC68C76}"/>
                </c:ext>
              </c:extLst>
            </c:dLbl>
            <c:dLbl>
              <c:idx val="13"/>
              <c:layout>
                <c:manualLayout>
                  <c:x val="6.412358584141126E-3"/>
                  <c:y val="-1.88148148148149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37F-4FBA-8FFE-011D2AC68C76}"/>
                </c:ext>
              </c:extLst>
            </c:dLbl>
            <c:dLbl>
              <c:idx val="14"/>
              <c:layout>
                <c:manualLayout>
                  <c:x val="4.809268938105727E-3"/>
                  <c:y val="1.17592592592592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37F-4FBA-8FFE-011D2AC68C76}"/>
                </c:ext>
              </c:extLst>
            </c:dLbl>
            <c:dLbl>
              <c:idx val="15"/>
              <c:layout>
                <c:manualLayout>
                  <c:x val="1.6030896460352815E-3"/>
                  <c:y val="-1.64629629629630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37F-4FBA-8FFE-011D2AC68C76}"/>
                </c:ext>
              </c:extLst>
            </c:dLbl>
            <c:dLbl>
              <c:idx val="16"/>
              <c:layout>
                <c:manualLayout>
                  <c:x val="6.412358584141126E-3"/>
                  <c:y val="1.64629629629628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37F-4FBA-8FFE-011D2AC68C76}"/>
                </c:ext>
              </c:extLst>
            </c:dLbl>
            <c:dLbl>
              <c:idx val="17"/>
              <c:layout>
                <c:manualLayout>
                  <c:x val="3.206179292070563E-3"/>
                  <c:y val="3.52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37F-4FBA-8FFE-011D2AC68C76}"/>
                </c:ext>
              </c:extLst>
            </c:dLbl>
            <c:dLbl>
              <c:idx val="18"/>
              <c:layout>
                <c:manualLayout>
                  <c:x val="0"/>
                  <c:y val="-3.0574074074074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37F-4FBA-8FFE-011D2AC68C76}"/>
                </c:ext>
              </c:extLst>
            </c:dLbl>
            <c:dLbl>
              <c:idx val="19"/>
              <c:layout>
                <c:manualLayout>
                  <c:x val="-1.1755854932952714E-16"/>
                  <c:y val="-1.6462962962962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37F-4FBA-8FFE-011D2AC68C76}"/>
                </c:ext>
              </c:extLst>
            </c:dLbl>
            <c:dLbl>
              <c:idx val="20"/>
              <c:layout>
                <c:manualLayout>
                  <c:x val="4.809268938105727E-3"/>
                  <c:y val="2.11666666666664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37F-4FBA-8FFE-011D2AC68C76}"/>
                </c:ext>
              </c:extLst>
            </c:dLbl>
            <c:spPr>
              <a:solidFill>
                <a:schemeClr val="bg1">
                  <a:lumMod val="95000"/>
                </a:schemeClr>
              </a:solidFill>
            </c:spPr>
            <c:txPr>
              <a:bodyPr rot="-5400000" vert="horz"/>
              <a:lstStyle/>
              <a:p>
                <a:pPr>
                  <a:defRPr sz="800" baseline="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grafy!$A$7:$A$27</c:f>
              <c:numCache>
                <c:formatCode>General</c:formatCode>
                <c:ptCount val="21"/>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formatCode="0">
                  <c:v>2022</c:v>
                </c:pt>
                <c:pt idx="20" formatCode="0">
                  <c:v>2023</c:v>
                </c:pt>
              </c:numCache>
            </c:numRef>
          </c:cat>
          <c:val>
            <c:numRef>
              <c:f>grafy!$D$7:$D$27</c:f>
              <c:numCache>
                <c:formatCode>#,##0</c:formatCode>
                <c:ptCount val="21"/>
                <c:pt idx="0">
                  <c:v>11598.89</c:v>
                </c:pt>
                <c:pt idx="1">
                  <c:v>11942.93</c:v>
                </c:pt>
                <c:pt idx="2">
                  <c:v>11957.53</c:v>
                </c:pt>
                <c:pt idx="3">
                  <c:v>12523.08</c:v>
                </c:pt>
                <c:pt idx="4">
                  <c:v>12689.11</c:v>
                </c:pt>
                <c:pt idx="5">
                  <c:v>12647.88</c:v>
                </c:pt>
                <c:pt idx="6">
                  <c:v>12017.19</c:v>
                </c:pt>
                <c:pt idx="7">
                  <c:v>11874.08</c:v>
                </c:pt>
                <c:pt idx="8">
                  <c:v>11722.65</c:v>
                </c:pt>
                <c:pt idx="9">
                  <c:v>11356.87</c:v>
                </c:pt>
                <c:pt idx="10">
                  <c:v>10996.93</c:v>
                </c:pt>
                <c:pt idx="11">
                  <c:v>10495.71</c:v>
                </c:pt>
                <c:pt idx="12">
                  <c:v>10474</c:v>
                </c:pt>
                <c:pt idx="13">
                  <c:v>10355</c:v>
                </c:pt>
                <c:pt idx="14">
                  <c:v>10016</c:v>
                </c:pt>
                <c:pt idx="15">
                  <c:v>10230.14</c:v>
                </c:pt>
                <c:pt idx="16">
                  <c:v>10124</c:v>
                </c:pt>
                <c:pt idx="17">
                  <c:v>9938.69</c:v>
                </c:pt>
                <c:pt idx="18">
                  <c:v>10247</c:v>
                </c:pt>
                <c:pt idx="19">
                  <c:v>9638</c:v>
                </c:pt>
                <c:pt idx="20">
                  <c:v>9460.8160000000007</c:v>
                </c:pt>
              </c:numCache>
            </c:numRef>
          </c:val>
          <c:extLst>
            <c:ext xmlns:c16="http://schemas.microsoft.com/office/drawing/2014/chart" uri="{C3380CC4-5D6E-409C-BE32-E72D297353CC}">
              <c16:uniqueId val="{00000014-C37F-4FBA-8FFE-011D2AC68C76}"/>
            </c:ext>
          </c:extLst>
        </c:ser>
        <c:dLbls>
          <c:showLegendKey val="0"/>
          <c:showVal val="1"/>
          <c:showCatName val="0"/>
          <c:showSerName val="0"/>
          <c:showPercent val="0"/>
          <c:showBubbleSize val="0"/>
        </c:dLbls>
        <c:gapWidth val="115"/>
        <c:gapDepth val="298"/>
        <c:shape val="box"/>
        <c:axId val="106626048"/>
        <c:axId val="106652416"/>
        <c:axId val="0"/>
      </c:bar3DChart>
      <c:catAx>
        <c:axId val="106626048"/>
        <c:scaling>
          <c:orientation val="minMax"/>
        </c:scaling>
        <c:delete val="0"/>
        <c:axPos val="b"/>
        <c:numFmt formatCode="General" sourceLinked="1"/>
        <c:majorTickMark val="out"/>
        <c:minorTickMark val="none"/>
        <c:tickLblPos val="nextTo"/>
        <c:txPr>
          <a:bodyPr/>
          <a:lstStyle/>
          <a:p>
            <a:pPr>
              <a:defRPr sz="760">
                <a:latin typeface="Tahoma" panose="020B0604030504040204" pitchFamily="34" charset="0"/>
                <a:ea typeface="Tahoma" panose="020B0604030504040204" pitchFamily="34" charset="0"/>
                <a:cs typeface="Tahoma" panose="020B0604030504040204" pitchFamily="34" charset="0"/>
              </a:defRPr>
            </a:pPr>
            <a:endParaRPr lang="cs-CZ"/>
          </a:p>
        </c:txPr>
        <c:crossAx val="106652416"/>
        <c:crosses val="autoZero"/>
        <c:auto val="1"/>
        <c:lblAlgn val="ctr"/>
        <c:lblOffset val="100"/>
        <c:noMultiLvlLbl val="0"/>
      </c:catAx>
      <c:valAx>
        <c:axId val="106652416"/>
        <c:scaling>
          <c:orientation val="minMax"/>
          <c:max val="13000"/>
          <c:min val="8000"/>
        </c:scaling>
        <c:delete val="0"/>
        <c:axPos val="l"/>
        <c:majorGridlines/>
        <c:title>
          <c:tx>
            <c:rich>
              <a:bodyPr rot="-5400000" vert="horz"/>
              <a:lstStyle/>
              <a:p>
                <a:pPr>
                  <a:defRPr sz="800" b="0">
                    <a:latin typeface="Tahoma" panose="020B0604030504040204" pitchFamily="34" charset="0"/>
                    <a:ea typeface="Tahoma" panose="020B0604030504040204" pitchFamily="34" charset="0"/>
                    <a:cs typeface="Tahoma" panose="020B0604030504040204" pitchFamily="34" charset="0"/>
                  </a:defRPr>
                </a:pPr>
                <a:r>
                  <a:rPr lang="cs-CZ" sz="800" b="0">
                    <a:latin typeface="Tahoma" panose="020B0604030504040204" pitchFamily="34" charset="0"/>
                    <a:ea typeface="Tahoma" panose="020B0604030504040204" pitchFamily="34" charset="0"/>
                    <a:cs typeface="Tahoma" panose="020B0604030504040204" pitchFamily="34" charset="0"/>
                  </a:rPr>
                  <a:t>Množství v tunách</a:t>
                </a:r>
              </a:p>
            </c:rich>
          </c:tx>
          <c:layout>
            <c:manualLayout>
              <c:xMode val="edge"/>
              <c:yMode val="edge"/>
              <c:x val="1.1297868951082035E-2"/>
              <c:y val="0.42197222222222225"/>
            </c:manualLayout>
          </c:layout>
          <c:overlay val="0"/>
        </c:title>
        <c:numFmt formatCode="#,##0" sourceLinked="0"/>
        <c:majorTickMark val="out"/>
        <c:minorTickMark val="none"/>
        <c:tickLblPos val="nextTo"/>
        <c:txPr>
          <a:bodyPr/>
          <a:lstStyle/>
          <a:p>
            <a:pPr>
              <a:defRPr sz="700" baseline="0"/>
            </a:pPr>
            <a:endParaRPr lang="cs-CZ"/>
          </a:p>
        </c:txPr>
        <c:crossAx val="106626048"/>
        <c:crosses val="autoZero"/>
        <c:crossBetween val="between"/>
        <c:majorUnit val="1000"/>
      </c:val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sz="1050"/>
            </a:pPr>
            <a:r>
              <a:rPr lang="cs-CZ" sz="1050">
                <a:latin typeface="Tahoma" panose="020B0604030504040204" pitchFamily="34" charset="0"/>
                <a:ea typeface="Tahoma" panose="020B0604030504040204" pitchFamily="34" charset="0"/>
                <a:cs typeface="Tahoma" panose="020B0604030504040204" pitchFamily="34" charset="0"/>
              </a:rPr>
              <a:t>Vývoj  celkového množství</a:t>
            </a:r>
            <a:r>
              <a:rPr lang="cs-CZ" sz="1050" baseline="0">
                <a:latin typeface="Tahoma" panose="020B0604030504040204" pitchFamily="34" charset="0"/>
                <a:ea typeface="Tahoma" panose="020B0604030504040204" pitchFamily="34" charset="0"/>
                <a:cs typeface="Tahoma" panose="020B0604030504040204" pitchFamily="34" charset="0"/>
              </a:rPr>
              <a:t> vytříděného papíru, skla a plastů </a:t>
            </a:r>
            <a:br>
              <a:rPr lang="cs-CZ" sz="1050" baseline="0">
                <a:latin typeface="Tahoma" panose="020B0604030504040204" pitchFamily="34" charset="0"/>
                <a:ea typeface="Tahoma" panose="020B0604030504040204" pitchFamily="34" charset="0"/>
                <a:cs typeface="Tahoma" panose="020B0604030504040204" pitchFamily="34" charset="0"/>
              </a:rPr>
            </a:br>
            <a:r>
              <a:rPr lang="cs-CZ" sz="1050" b="1" i="0" u="none" strike="noStrike" baseline="0">
                <a:latin typeface="Tahoma" panose="020B0604030504040204" pitchFamily="34" charset="0"/>
                <a:ea typeface="Tahoma" panose="020B0604030504040204" pitchFamily="34" charset="0"/>
                <a:cs typeface="Tahoma" panose="020B0604030504040204" pitchFamily="34" charset="0"/>
              </a:rPr>
              <a:t>v letech </a:t>
            </a:r>
            <a:r>
              <a:rPr lang="cs-CZ" sz="1050" baseline="0">
                <a:latin typeface="Tahoma" panose="020B0604030504040204" pitchFamily="34" charset="0"/>
                <a:ea typeface="Tahoma" panose="020B0604030504040204" pitchFamily="34" charset="0"/>
                <a:cs typeface="Tahoma" panose="020B0604030504040204" pitchFamily="34" charset="0"/>
              </a:rPr>
              <a:t>2003</a:t>
            </a:r>
            <a:r>
              <a:rPr lang="cs-CZ" sz="1050" b="1" i="0" u="none" strike="noStrike" baseline="0">
                <a:effectLst/>
                <a:latin typeface="Tahoma" panose="020B0604030504040204" pitchFamily="34" charset="0"/>
                <a:ea typeface="Tahoma" panose="020B0604030504040204" pitchFamily="34" charset="0"/>
                <a:cs typeface="Tahoma" panose="020B0604030504040204" pitchFamily="34" charset="0"/>
              </a:rPr>
              <a:t>–</a:t>
            </a:r>
            <a:r>
              <a:rPr lang="cs-CZ" sz="1050" baseline="0">
                <a:latin typeface="Tahoma" panose="020B0604030504040204" pitchFamily="34" charset="0"/>
                <a:ea typeface="Tahoma" panose="020B0604030504040204" pitchFamily="34" charset="0"/>
                <a:cs typeface="Tahoma" panose="020B0604030504040204" pitchFamily="34" charset="0"/>
              </a:rPr>
              <a:t>2023</a:t>
            </a:r>
            <a:endParaRPr lang="cs-CZ" sz="1050">
              <a:latin typeface="Tahoma" panose="020B0604030504040204" pitchFamily="34" charset="0"/>
              <a:ea typeface="Tahoma" panose="020B0604030504040204" pitchFamily="34" charset="0"/>
              <a:cs typeface="Tahoma" panose="020B0604030504040204" pitchFamily="34" charset="0"/>
            </a:endParaRPr>
          </a:p>
        </c:rich>
      </c:tx>
      <c:layout>
        <c:manualLayout>
          <c:xMode val="edge"/>
          <c:yMode val="edge"/>
          <c:x val="0.19406955380577429"/>
          <c:y val="4.0389099340974913E-2"/>
        </c:manualLayout>
      </c:layout>
      <c:overlay val="0"/>
    </c:title>
    <c:autoTitleDeleted val="0"/>
    <c:view3D>
      <c:rotX val="15"/>
      <c:rotY val="20"/>
      <c:rAngAx val="1"/>
    </c:view3D>
    <c:floor>
      <c:thickness val="0"/>
      <c:spPr>
        <a:solidFill>
          <a:schemeClr val="bg1">
            <a:lumMod val="95000"/>
          </a:schemeClr>
        </a:solidFill>
      </c:spPr>
    </c:floor>
    <c:sideWall>
      <c:thickness val="0"/>
      <c:spPr>
        <a:solidFill>
          <a:schemeClr val="bg1">
            <a:lumMod val="85000"/>
          </a:schemeClr>
        </a:solidFill>
      </c:spPr>
    </c:sideWall>
    <c:backWall>
      <c:thickness val="0"/>
      <c:spPr>
        <a:solidFill>
          <a:schemeClr val="bg1">
            <a:lumMod val="85000"/>
          </a:schemeClr>
        </a:solidFill>
      </c:spPr>
    </c:backWall>
    <c:plotArea>
      <c:layout>
        <c:manualLayout>
          <c:layoutTarget val="inner"/>
          <c:xMode val="edge"/>
          <c:yMode val="edge"/>
          <c:x val="7.5224126296743965E-2"/>
          <c:y val="0.13393796296296298"/>
          <c:w val="0.91828112690505126"/>
          <c:h val="0.80714425925925926"/>
        </c:manualLayout>
      </c:layout>
      <c:bar3DChart>
        <c:barDir val="col"/>
        <c:grouping val="stacked"/>
        <c:varyColors val="0"/>
        <c:ser>
          <c:idx val="0"/>
          <c:order val="0"/>
          <c:tx>
            <c:strRef>
              <c:f>grafy!$E$7:$E$27</c:f>
              <c:strCache>
                <c:ptCount val="21"/>
                <c:pt idx="0">
                  <c:v>747</c:v>
                </c:pt>
                <c:pt idx="1">
                  <c:v>849</c:v>
                </c:pt>
                <c:pt idx="2">
                  <c:v>1 030</c:v>
                </c:pt>
                <c:pt idx="3">
                  <c:v>1 605</c:v>
                </c:pt>
                <c:pt idx="4">
                  <c:v>1 731</c:v>
                </c:pt>
                <c:pt idx="5">
                  <c:v>1 933</c:v>
                </c:pt>
                <c:pt idx="6">
                  <c:v>1 964</c:v>
                </c:pt>
                <c:pt idx="7">
                  <c:v>2 133</c:v>
                </c:pt>
                <c:pt idx="8">
                  <c:v>2 294</c:v>
                </c:pt>
                <c:pt idx="9">
                  <c:v>2 153</c:v>
                </c:pt>
                <c:pt idx="10">
                  <c:v>2 276</c:v>
                </c:pt>
                <c:pt idx="11">
                  <c:v>2 592</c:v>
                </c:pt>
                <c:pt idx="12">
                  <c:v>2 405</c:v>
                </c:pt>
                <c:pt idx="13">
                  <c:v>2 522</c:v>
                </c:pt>
                <c:pt idx="14">
                  <c:v>2 418</c:v>
                </c:pt>
                <c:pt idx="15">
                  <c:v>2 555</c:v>
                </c:pt>
                <c:pt idx="16">
                  <c:v>2 727</c:v>
                </c:pt>
                <c:pt idx="17">
                  <c:v>2 960</c:v>
                </c:pt>
                <c:pt idx="18">
                  <c:v>2 605</c:v>
                </c:pt>
                <c:pt idx="19">
                  <c:v>2 682</c:v>
                </c:pt>
                <c:pt idx="20">
                  <c:v>2 375</c:v>
                </c:pt>
              </c:strCache>
            </c:strRef>
          </c:tx>
          <c:spPr>
            <a:gradFill>
              <a:gsLst>
                <a:gs pos="15000">
                  <a:srgbClr val="E9E40E"/>
                </a:gs>
                <a:gs pos="25000">
                  <a:srgbClr val="62983E"/>
                </a:gs>
                <a:gs pos="100000">
                  <a:srgbClr val="3584CB"/>
                </a:gs>
              </a:gsLst>
              <a:lin ang="5400000" scaled="0"/>
            </a:gradFill>
            <a:ln>
              <a:noFill/>
            </a:ln>
          </c:spPr>
          <c:invertIfNegative val="0"/>
          <c:dLbls>
            <c:dLbl>
              <c:idx val="19"/>
              <c:layout>
                <c:manualLayout>
                  <c:x val="-1.57905855037203E-3"/>
                  <c:y val="-2.10990052825043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72-44E2-9600-0A4F0F5A603B}"/>
                </c:ext>
              </c:extLst>
            </c:dLbl>
            <c:spPr>
              <a:solidFill>
                <a:schemeClr val="bg1">
                  <a:lumMod val="95000"/>
                </a:schemeClr>
              </a:solidFill>
            </c:spPr>
            <c:txPr>
              <a:bodyPr rot="-5400000" vert="horz"/>
              <a:lstStyle/>
              <a:p>
                <a:pPr>
                  <a:defRPr sz="800" baseline="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grafy!$A$7:$A$27</c:f>
              <c:numCache>
                <c:formatCode>General</c:formatCode>
                <c:ptCount val="21"/>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formatCode="0">
                  <c:v>2022</c:v>
                </c:pt>
                <c:pt idx="20" formatCode="0">
                  <c:v>2023</c:v>
                </c:pt>
              </c:numCache>
            </c:numRef>
          </c:cat>
          <c:val>
            <c:numRef>
              <c:f>grafy!$E$7:$E$27</c:f>
              <c:numCache>
                <c:formatCode>#,##0</c:formatCode>
                <c:ptCount val="21"/>
                <c:pt idx="0">
                  <c:v>746.7</c:v>
                </c:pt>
                <c:pt idx="1">
                  <c:v>848.71</c:v>
                </c:pt>
                <c:pt idx="2">
                  <c:v>1030.01</c:v>
                </c:pt>
                <c:pt idx="3">
                  <c:v>1605.12</c:v>
                </c:pt>
                <c:pt idx="4">
                  <c:v>1731.24</c:v>
                </c:pt>
                <c:pt idx="5">
                  <c:v>1932.7</c:v>
                </c:pt>
                <c:pt idx="6">
                  <c:v>1964.21</c:v>
                </c:pt>
                <c:pt idx="7">
                  <c:v>2132.91</c:v>
                </c:pt>
                <c:pt idx="8">
                  <c:v>2293.9500000000003</c:v>
                </c:pt>
                <c:pt idx="9">
                  <c:v>2152.98</c:v>
                </c:pt>
                <c:pt idx="10">
                  <c:v>2276.1</c:v>
                </c:pt>
                <c:pt idx="11">
                  <c:v>2592.2600000000002</c:v>
                </c:pt>
                <c:pt idx="12">
                  <c:v>2405</c:v>
                </c:pt>
                <c:pt idx="13">
                  <c:v>2522</c:v>
                </c:pt>
                <c:pt idx="14">
                  <c:v>2418</c:v>
                </c:pt>
                <c:pt idx="15">
                  <c:v>2555</c:v>
                </c:pt>
                <c:pt idx="16">
                  <c:v>2726.9360000000001</c:v>
                </c:pt>
                <c:pt idx="17">
                  <c:v>2959.933</c:v>
                </c:pt>
                <c:pt idx="18">
                  <c:v>2605.0810000000001</c:v>
                </c:pt>
                <c:pt idx="19">
                  <c:v>2682</c:v>
                </c:pt>
                <c:pt idx="20">
                  <c:v>2375.2988999999998</c:v>
                </c:pt>
              </c:numCache>
            </c:numRef>
          </c:val>
          <c:extLst>
            <c:ext xmlns:c16="http://schemas.microsoft.com/office/drawing/2014/chart" uri="{C3380CC4-5D6E-409C-BE32-E72D297353CC}">
              <c16:uniqueId val="{00000001-5272-44E2-9600-0A4F0F5A603B}"/>
            </c:ext>
          </c:extLst>
        </c:ser>
        <c:dLbls>
          <c:showLegendKey val="0"/>
          <c:showVal val="1"/>
          <c:showCatName val="0"/>
          <c:showSerName val="0"/>
          <c:showPercent val="0"/>
          <c:showBubbleSize val="0"/>
        </c:dLbls>
        <c:gapWidth val="115"/>
        <c:gapDepth val="298"/>
        <c:shape val="box"/>
        <c:axId val="106716544"/>
        <c:axId val="106742912"/>
        <c:axId val="0"/>
      </c:bar3DChart>
      <c:catAx>
        <c:axId val="106716544"/>
        <c:scaling>
          <c:orientation val="minMax"/>
        </c:scaling>
        <c:delete val="0"/>
        <c:axPos val="b"/>
        <c:numFmt formatCode="General" sourceLinked="1"/>
        <c:majorTickMark val="out"/>
        <c:minorTickMark val="none"/>
        <c:tickLblPos val="nextTo"/>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106742912"/>
        <c:crosses val="autoZero"/>
        <c:auto val="1"/>
        <c:lblAlgn val="ctr"/>
        <c:lblOffset val="100"/>
        <c:noMultiLvlLbl val="0"/>
      </c:catAx>
      <c:valAx>
        <c:axId val="106742912"/>
        <c:scaling>
          <c:orientation val="minMax"/>
          <c:min val="0"/>
        </c:scaling>
        <c:delete val="0"/>
        <c:axPos val="l"/>
        <c:majorGridlines/>
        <c:title>
          <c:tx>
            <c:rich>
              <a:bodyPr rot="-5400000" vert="horz"/>
              <a:lstStyle/>
              <a:p>
                <a:pPr>
                  <a:defRPr sz="800" b="0" baseline="0">
                    <a:latin typeface="Tahoma" panose="020B0604030504040204" pitchFamily="34" charset="0"/>
                    <a:ea typeface="Tahoma" panose="020B0604030504040204" pitchFamily="34" charset="0"/>
                    <a:cs typeface="Tahoma" panose="020B0604030504040204" pitchFamily="34" charset="0"/>
                  </a:defRPr>
                </a:pPr>
                <a:r>
                  <a:rPr lang="cs-CZ" sz="800" b="0" baseline="0">
                    <a:latin typeface="Tahoma" panose="020B0604030504040204" pitchFamily="34" charset="0"/>
                    <a:ea typeface="Tahoma" panose="020B0604030504040204" pitchFamily="34" charset="0"/>
                    <a:cs typeface="Tahoma" panose="020B0604030504040204" pitchFamily="34" charset="0"/>
                  </a:rPr>
                  <a:t>Množství v tunách</a:t>
                </a:r>
              </a:p>
            </c:rich>
          </c:tx>
          <c:layout>
            <c:manualLayout>
              <c:xMode val="edge"/>
              <c:yMode val="edge"/>
              <c:x val="3.6656191875863767E-3"/>
              <c:y val="0.42215834904742328"/>
            </c:manualLayout>
          </c:layout>
          <c:overlay val="0"/>
        </c:title>
        <c:numFmt formatCode="#,##0" sourceLinked="1"/>
        <c:majorTickMark val="out"/>
        <c:minorTickMark val="none"/>
        <c:tickLblPos val="nextTo"/>
        <c:txPr>
          <a:bodyPr/>
          <a:lstStyle/>
          <a:p>
            <a:pPr>
              <a:defRPr sz="800" baseline="0"/>
            </a:pPr>
            <a:endParaRPr lang="cs-CZ"/>
          </a:p>
        </c:txPr>
        <c:crossAx val="106716544"/>
        <c:crosses val="autoZero"/>
        <c:crossBetween val="between"/>
        <c:majorUnit val="300"/>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sz="1250">
                <a:latin typeface="Tahoma" panose="020B0604030504040204" pitchFamily="34" charset="0"/>
                <a:ea typeface="Tahoma" panose="020B0604030504040204" pitchFamily="34" charset="0"/>
                <a:cs typeface="Tahoma" panose="020B0604030504040204" pitchFamily="34" charset="0"/>
              </a:defRPr>
            </a:pPr>
            <a:r>
              <a:rPr lang="cs-CZ" sz="1050">
                <a:latin typeface="Tahoma" panose="020B0604030504040204" pitchFamily="34" charset="0"/>
                <a:ea typeface="Tahoma" panose="020B0604030504040204" pitchFamily="34" charset="0"/>
                <a:cs typeface="Tahoma" panose="020B0604030504040204" pitchFamily="34" charset="0"/>
              </a:rPr>
              <a:t>Vývoj množství</a:t>
            </a:r>
            <a:r>
              <a:rPr lang="cs-CZ" sz="1050" baseline="0">
                <a:latin typeface="Tahoma" panose="020B0604030504040204" pitchFamily="34" charset="0"/>
                <a:ea typeface="Tahoma" panose="020B0604030504040204" pitchFamily="34" charset="0"/>
                <a:cs typeface="Tahoma" panose="020B0604030504040204" pitchFamily="34" charset="0"/>
              </a:rPr>
              <a:t> papíru </a:t>
            </a:r>
            <a:r>
              <a:rPr lang="cs-CZ" sz="1050" b="1" i="0" u="none" strike="noStrike" baseline="0">
                <a:latin typeface="Tahoma" panose="020B0604030504040204" pitchFamily="34" charset="0"/>
                <a:ea typeface="Tahoma" panose="020B0604030504040204" pitchFamily="34" charset="0"/>
                <a:cs typeface="Tahoma" panose="020B0604030504040204" pitchFamily="34" charset="0"/>
              </a:rPr>
              <a:t>v letech </a:t>
            </a:r>
            <a:r>
              <a:rPr lang="cs-CZ" sz="1050" baseline="0">
                <a:latin typeface="Tahoma" panose="020B0604030504040204" pitchFamily="34" charset="0"/>
                <a:ea typeface="Tahoma" panose="020B0604030504040204" pitchFamily="34" charset="0"/>
                <a:cs typeface="Tahoma" panose="020B0604030504040204" pitchFamily="34" charset="0"/>
              </a:rPr>
              <a:t>2003</a:t>
            </a:r>
            <a:r>
              <a:rPr lang="cs-CZ" sz="1050" b="1" i="0" u="none" strike="noStrike" baseline="0">
                <a:effectLst/>
                <a:latin typeface="Tahoma" panose="020B0604030504040204" pitchFamily="34" charset="0"/>
                <a:ea typeface="Tahoma" panose="020B0604030504040204" pitchFamily="34" charset="0"/>
                <a:cs typeface="Tahoma" panose="020B0604030504040204" pitchFamily="34" charset="0"/>
              </a:rPr>
              <a:t>–</a:t>
            </a:r>
            <a:r>
              <a:rPr lang="cs-CZ" sz="1050" baseline="0">
                <a:latin typeface="Tahoma" panose="020B0604030504040204" pitchFamily="34" charset="0"/>
                <a:ea typeface="Tahoma" panose="020B0604030504040204" pitchFamily="34" charset="0"/>
                <a:cs typeface="Tahoma" panose="020B0604030504040204" pitchFamily="34" charset="0"/>
              </a:rPr>
              <a:t>2023</a:t>
            </a:r>
            <a:endParaRPr lang="cs-CZ" sz="1050">
              <a:latin typeface="Tahoma" panose="020B0604030504040204" pitchFamily="34" charset="0"/>
              <a:ea typeface="Tahoma" panose="020B0604030504040204" pitchFamily="34" charset="0"/>
              <a:cs typeface="Tahoma" panose="020B0604030504040204" pitchFamily="34" charset="0"/>
            </a:endParaRPr>
          </a:p>
        </c:rich>
      </c:tx>
      <c:layout>
        <c:manualLayout>
          <c:xMode val="edge"/>
          <c:yMode val="edge"/>
          <c:x val="0.18454548703348542"/>
          <c:y val="2.2119006557897843E-2"/>
        </c:manualLayout>
      </c:layout>
      <c:overlay val="0"/>
    </c:title>
    <c:autoTitleDeleted val="0"/>
    <c:view3D>
      <c:rotX val="15"/>
      <c:rotY val="20"/>
      <c:rAngAx val="1"/>
    </c:view3D>
    <c:floor>
      <c:thickness val="0"/>
      <c:spPr>
        <a:solidFill>
          <a:schemeClr val="bg1">
            <a:lumMod val="95000"/>
          </a:schemeClr>
        </a:solidFill>
      </c:spPr>
    </c:floor>
    <c:sideWall>
      <c:thickness val="0"/>
      <c:spPr>
        <a:solidFill>
          <a:schemeClr val="bg1">
            <a:lumMod val="85000"/>
          </a:schemeClr>
        </a:solidFill>
      </c:spPr>
    </c:sideWall>
    <c:backWall>
      <c:thickness val="0"/>
      <c:spPr>
        <a:solidFill>
          <a:schemeClr val="bg1">
            <a:lumMod val="85000"/>
          </a:schemeClr>
        </a:solidFill>
      </c:spPr>
    </c:backWall>
    <c:plotArea>
      <c:layout>
        <c:manualLayout>
          <c:layoutTarget val="inner"/>
          <c:xMode val="edge"/>
          <c:yMode val="edge"/>
          <c:x val="8.8693691015743772E-2"/>
          <c:y val="8.4607962962962968E-2"/>
          <c:w val="0.90008518712198926"/>
          <c:h val="0.84236314814814817"/>
        </c:manualLayout>
      </c:layout>
      <c:bar3DChart>
        <c:barDir val="col"/>
        <c:grouping val="stacked"/>
        <c:varyColors val="0"/>
        <c:ser>
          <c:idx val="0"/>
          <c:order val="0"/>
          <c:spPr>
            <a:solidFill>
              <a:srgbClr val="0070C0"/>
            </a:solidFill>
            <a:ln>
              <a:noFill/>
            </a:ln>
          </c:spPr>
          <c:invertIfNegative val="0"/>
          <c:dLbls>
            <c:dLbl>
              <c:idx val="13"/>
              <c:layout>
                <c:manualLayout>
                  <c:x val="4.8090522266858475E-3"/>
                  <c:y val="-2.11666666666667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214-4D1E-9961-A74C9CB466A4}"/>
                </c:ext>
              </c:extLst>
            </c:dLbl>
            <c:dLbl>
              <c:idx val="16"/>
              <c:layout>
                <c:manualLayout>
                  <c:x val="-1.1755325200045572E-16"/>
                  <c:y val="-1.64629629629630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214-4D1E-9961-A74C9CB466A4}"/>
                </c:ext>
              </c:extLst>
            </c:dLbl>
            <c:dLbl>
              <c:idx val="17"/>
              <c:layout>
                <c:manualLayout>
                  <c:x val="3.2060348177905648E-3"/>
                  <c:y val="-3.29259259259259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214-4D1E-9961-A74C9CB466A4}"/>
                </c:ext>
              </c:extLst>
            </c:dLbl>
            <c:spPr>
              <a:solidFill>
                <a:schemeClr val="accent1">
                  <a:lumMod val="40000"/>
                  <a:lumOff val="60000"/>
                </a:schemeClr>
              </a:solidFill>
            </c:spPr>
            <c:txPr>
              <a:bodyPr rot="-5400000" vert="horz"/>
              <a:lstStyle/>
              <a:p>
                <a:pPr>
                  <a:defRPr sz="1000" b="0" baseline="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grafy!$A$7:$A$27</c:f>
              <c:numCache>
                <c:formatCode>General</c:formatCode>
                <c:ptCount val="21"/>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formatCode="0">
                  <c:v>2022</c:v>
                </c:pt>
                <c:pt idx="20" formatCode="0">
                  <c:v>2023</c:v>
                </c:pt>
              </c:numCache>
            </c:numRef>
          </c:cat>
          <c:val>
            <c:numRef>
              <c:f>grafy!$F$7:$F$27</c:f>
              <c:numCache>
                <c:formatCode>#,##0</c:formatCode>
                <c:ptCount val="21"/>
                <c:pt idx="0">
                  <c:v>181.1</c:v>
                </c:pt>
                <c:pt idx="1">
                  <c:v>213.56</c:v>
                </c:pt>
                <c:pt idx="2">
                  <c:v>370.41</c:v>
                </c:pt>
                <c:pt idx="3">
                  <c:v>882.7</c:v>
                </c:pt>
                <c:pt idx="4">
                  <c:v>865.39</c:v>
                </c:pt>
                <c:pt idx="5">
                  <c:v>1036.49</c:v>
                </c:pt>
                <c:pt idx="6">
                  <c:v>1060.26</c:v>
                </c:pt>
                <c:pt idx="7">
                  <c:v>1166.77</c:v>
                </c:pt>
                <c:pt idx="8">
                  <c:v>1230.3900000000001</c:v>
                </c:pt>
                <c:pt idx="9">
                  <c:v>1109.8800000000001</c:v>
                </c:pt>
                <c:pt idx="10">
                  <c:v>1296.49</c:v>
                </c:pt>
                <c:pt idx="11">
                  <c:v>1460.88</c:v>
                </c:pt>
                <c:pt idx="12">
                  <c:v>1317</c:v>
                </c:pt>
                <c:pt idx="13">
                  <c:v>1357</c:v>
                </c:pt>
                <c:pt idx="14">
                  <c:v>1198</c:v>
                </c:pt>
                <c:pt idx="15">
                  <c:v>1325</c:v>
                </c:pt>
                <c:pt idx="16">
                  <c:v>1385.682</c:v>
                </c:pt>
                <c:pt idx="17">
                  <c:v>1467.125</c:v>
                </c:pt>
                <c:pt idx="18">
                  <c:v>1074.5409999999999</c:v>
                </c:pt>
                <c:pt idx="19">
                  <c:v>1292</c:v>
                </c:pt>
                <c:pt idx="20">
                  <c:v>951.68640000000005</c:v>
                </c:pt>
              </c:numCache>
            </c:numRef>
          </c:val>
          <c:extLst>
            <c:ext xmlns:c16="http://schemas.microsoft.com/office/drawing/2014/chart" uri="{C3380CC4-5D6E-409C-BE32-E72D297353CC}">
              <c16:uniqueId val="{00000003-1214-4D1E-9961-A74C9CB466A4}"/>
            </c:ext>
          </c:extLst>
        </c:ser>
        <c:dLbls>
          <c:showLegendKey val="0"/>
          <c:showVal val="1"/>
          <c:showCatName val="0"/>
          <c:showSerName val="0"/>
          <c:showPercent val="0"/>
          <c:showBubbleSize val="0"/>
        </c:dLbls>
        <c:gapWidth val="115"/>
        <c:gapDepth val="298"/>
        <c:shape val="box"/>
        <c:axId val="106673280"/>
        <c:axId val="106674816"/>
        <c:axId val="0"/>
      </c:bar3DChart>
      <c:catAx>
        <c:axId val="106673280"/>
        <c:scaling>
          <c:orientation val="minMax"/>
        </c:scaling>
        <c:delete val="0"/>
        <c:axPos val="b"/>
        <c:numFmt formatCode="General" sourceLinked="1"/>
        <c:majorTickMark val="out"/>
        <c:minorTickMark val="none"/>
        <c:tickLblPos val="nextTo"/>
        <c:txPr>
          <a:bodyPr/>
          <a:lstStyle/>
          <a:p>
            <a:pPr>
              <a:defRPr sz="700">
                <a:latin typeface="Tahoma" panose="020B0604030504040204" pitchFamily="34" charset="0"/>
                <a:ea typeface="Tahoma" panose="020B0604030504040204" pitchFamily="34" charset="0"/>
                <a:cs typeface="Tahoma" panose="020B0604030504040204" pitchFamily="34" charset="0"/>
              </a:defRPr>
            </a:pPr>
            <a:endParaRPr lang="cs-CZ"/>
          </a:p>
        </c:txPr>
        <c:crossAx val="106674816"/>
        <c:crosses val="autoZero"/>
        <c:auto val="1"/>
        <c:lblAlgn val="ctr"/>
        <c:lblOffset val="100"/>
        <c:noMultiLvlLbl val="0"/>
      </c:catAx>
      <c:valAx>
        <c:axId val="106674816"/>
        <c:scaling>
          <c:orientation val="minMax"/>
          <c:max val="1500"/>
          <c:min val="0"/>
        </c:scaling>
        <c:delete val="0"/>
        <c:axPos val="l"/>
        <c:majorGridlines/>
        <c:title>
          <c:tx>
            <c:rich>
              <a:bodyPr rot="-5400000" vert="horz"/>
              <a:lstStyle/>
              <a:p>
                <a:pPr>
                  <a:defRPr sz="800" b="0">
                    <a:latin typeface="Tahoma" panose="020B0604030504040204" pitchFamily="34" charset="0"/>
                    <a:ea typeface="Tahoma" panose="020B0604030504040204" pitchFamily="34" charset="0"/>
                    <a:cs typeface="Tahoma" panose="020B0604030504040204" pitchFamily="34" charset="0"/>
                  </a:defRPr>
                </a:pPr>
                <a:r>
                  <a:rPr lang="cs-CZ" sz="800" b="0">
                    <a:latin typeface="Tahoma" panose="020B0604030504040204" pitchFamily="34" charset="0"/>
                    <a:ea typeface="Tahoma" panose="020B0604030504040204" pitchFamily="34" charset="0"/>
                    <a:cs typeface="Tahoma" panose="020B0604030504040204" pitchFamily="34" charset="0"/>
                  </a:rPr>
                  <a:t>Množství v tunách</a:t>
                </a:r>
              </a:p>
            </c:rich>
          </c:tx>
          <c:layout>
            <c:manualLayout>
              <c:xMode val="edge"/>
              <c:yMode val="edge"/>
              <c:x val="7.3120313777404492E-3"/>
              <c:y val="0.39082259259259261"/>
            </c:manualLayout>
          </c:layout>
          <c:overlay val="0"/>
        </c:title>
        <c:numFmt formatCode="#,##0" sourceLinked="1"/>
        <c:majorTickMark val="out"/>
        <c:minorTickMark val="none"/>
        <c:tickLblPos val="nextTo"/>
        <c:txPr>
          <a:bodyPr/>
          <a:lstStyle/>
          <a:p>
            <a:pPr>
              <a:defRPr sz="900" baseline="0"/>
            </a:pPr>
            <a:endParaRPr lang="cs-CZ"/>
          </a:p>
        </c:txPr>
        <c:crossAx val="106673280"/>
        <c:crosses val="autoZero"/>
        <c:crossBetween val="between"/>
        <c:majorUnit val="300"/>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sz="1050">
                <a:latin typeface="Tahoma" panose="020B0604030504040204" pitchFamily="34" charset="0"/>
                <a:ea typeface="Tahoma" panose="020B0604030504040204" pitchFamily="34" charset="0"/>
                <a:cs typeface="Tahoma" panose="020B0604030504040204" pitchFamily="34" charset="0"/>
              </a:defRPr>
            </a:pPr>
            <a:r>
              <a:rPr lang="cs-CZ" sz="1050" b="1" i="0" baseline="0">
                <a:latin typeface="Tahoma" panose="020B0604030504040204" pitchFamily="34" charset="0"/>
                <a:ea typeface="Tahoma" panose="020B0604030504040204" pitchFamily="34" charset="0"/>
                <a:cs typeface="Tahoma" panose="020B0604030504040204" pitchFamily="34" charset="0"/>
              </a:rPr>
              <a:t>Vývoj množství skla </a:t>
            </a:r>
            <a:r>
              <a:rPr lang="cs-CZ" sz="1050" b="1" i="0" u="none" strike="noStrike" baseline="0">
                <a:latin typeface="Tahoma" panose="020B0604030504040204" pitchFamily="34" charset="0"/>
                <a:ea typeface="Tahoma" panose="020B0604030504040204" pitchFamily="34" charset="0"/>
                <a:cs typeface="Tahoma" panose="020B0604030504040204" pitchFamily="34" charset="0"/>
              </a:rPr>
              <a:t>v letech </a:t>
            </a:r>
            <a:r>
              <a:rPr lang="cs-CZ" sz="1050" b="1" i="0" baseline="0">
                <a:latin typeface="Tahoma" panose="020B0604030504040204" pitchFamily="34" charset="0"/>
                <a:ea typeface="Tahoma" panose="020B0604030504040204" pitchFamily="34" charset="0"/>
                <a:cs typeface="Tahoma" panose="020B0604030504040204" pitchFamily="34" charset="0"/>
              </a:rPr>
              <a:t>2003</a:t>
            </a:r>
            <a:r>
              <a:rPr lang="cs-CZ" sz="1050" b="1" i="0" u="none" strike="noStrike" baseline="0">
                <a:effectLst/>
                <a:latin typeface="Tahoma" panose="020B0604030504040204" pitchFamily="34" charset="0"/>
                <a:ea typeface="Tahoma" panose="020B0604030504040204" pitchFamily="34" charset="0"/>
                <a:cs typeface="Tahoma" panose="020B0604030504040204" pitchFamily="34" charset="0"/>
              </a:rPr>
              <a:t>–</a:t>
            </a:r>
            <a:r>
              <a:rPr lang="cs-CZ" sz="1050" b="1" i="0" baseline="0">
                <a:latin typeface="Tahoma" panose="020B0604030504040204" pitchFamily="34" charset="0"/>
                <a:ea typeface="Tahoma" panose="020B0604030504040204" pitchFamily="34" charset="0"/>
                <a:cs typeface="Tahoma" panose="020B0604030504040204" pitchFamily="34" charset="0"/>
              </a:rPr>
              <a:t>2023</a:t>
            </a:r>
          </a:p>
        </c:rich>
      </c:tx>
      <c:overlay val="0"/>
    </c:title>
    <c:autoTitleDeleted val="0"/>
    <c:view3D>
      <c:rotX val="15"/>
      <c:rotY val="20"/>
      <c:rAngAx val="1"/>
    </c:view3D>
    <c:floor>
      <c:thickness val="0"/>
      <c:spPr>
        <a:solidFill>
          <a:schemeClr val="bg1">
            <a:lumMod val="95000"/>
          </a:schemeClr>
        </a:solidFill>
      </c:spPr>
    </c:floor>
    <c:sideWall>
      <c:thickness val="0"/>
      <c:spPr>
        <a:solidFill>
          <a:schemeClr val="bg1">
            <a:lumMod val="85000"/>
          </a:schemeClr>
        </a:solidFill>
      </c:spPr>
    </c:sideWall>
    <c:backWall>
      <c:thickness val="0"/>
      <c:spPr>
        <a:solidFill>
          <a:schemeClr val="bg1">
            <a:lumMod val="85000"/>
          </a:schemeClr>
        </a:solidFill>
      </c:spPr>
    </c:backWall>
    <c:plotArea>
      <c:layout>
        <c:manualLayout>
          <c:layoutTarget val="inner"/>
          <c:xMode val="edge"/>
          <c:yMode val="edge"/>
          <c:x val="6.4605015855667886E-2"/>
          <c:y val="7.6597935851238932E-2"/>
          <c:w val="0.91265522409067956"/>
          <c:h val="0.87030482872834758"/>
        </c:manualLayout>
      </c:layout>
      <c:bar3DChart>
        <c:barDir val="col"/>
        <c:grouping val="stacked"/>
        <c:varyColors val="0"/>
        <c:ser>
          <c:idx val="0"/>
          <c:order val="0"/>
          <c:tx>
            <c:strRef>
              <c:f>grafy!$G$7:$G$27</c:f>
              <c:strCache>
                <c:ptCount val="21"/>
                <c:pt idx="0">
                  <c:v>321</c:v>
                </c:pt>
                <c:pt idx="1">
                  <c:v>359</c:v>
                </c:pt>
                <c:pt idx="2">
                  <c:v>374</c:v>
                </c:pt>
                <c:pt idx="3">
                  <c:v>436</c:v>
                </c:pt>
                <c:pt idx="4">
                  <c:v>544</c:v>
                </c:pt>
                <c:pt idx="5">
                  <c:v>542</c:v>
                </c:pt>
                <c:pt idx="6">
                  <c:v>513</c:v>
                </c:pt>
                <c:pt idx="7">
                  <c:v>555</c:v>
                </c:pt>
                <c:pt idx="8">
                  <c:v>612</c:v>
                </c:pt>
                <c:pt idx="9">
                  <c:v>577</c:v>
                </c:pt>
                <c:pt idx="10">
                  <c:v>528</c:v>
                </c:pt>
                <c:pt idx="11">
                  <c:v>660</c:v>
                </c:pt>
                <c:pt idx="12">
                  <c:v>605</c:v>
                </c:pt>
                <c:pt idx="13">
                  <c:v>601</c:v>
                </c:pt>
                <c:pt idx="14">
                  <c:v>637</c:v>
                </c:pt>
                <c:pt idx="15">
                  <c:v>652</c:v>
                </c:pt>
                <c:pt idx="16">
                  <c:v>670</c:v>
                </c:pt>
                <c:pt idx="17">
                  <c:v>757</c:v>
                </c:pt>
                <c:pt idx="18">
                  <c:v>754</c:v>
                </c:pt>
                <c:pt idx="19">
                  <c:v>675</c:v>
                </c:pt>
                <c:pt idx="20">
                  <c:v>704</c:v>
                </c:pt>
              </c:strCache>
            </c:strRef>
          </c:tx>
          <c:spPr>
            <a:solidFill>
              <a:srgbClr val="00CC00"/>
            </a:solidFill>
            <a:ln>
              <a:solidFill>
                <a:srgbClr val="00B050"/>
              </a:solidFill>
            </a:ln>
          </c:spPr>
          <c:invertIfNegative val="0"/>
          <c:dLbls>
            <c:spPr>
              <a:solidFill>
                <a:schemeClr val="accent6">
                  <a:lumMod val="40000"/>
                  <a:lumOff val="60000"/>
                </a:schemeClr>
              </a:solidFill>
              <a:ln>
                <a:noFill/>
              </a:ln>
              <a:effectLst/>
            </c:spPr>
            <c:txPr>
              <a:bodyPr rot="-5400000" vert="horz" wrap="square" lIns="38100" tIns="19050" rIns="38100" bIns="19050" anchor="ctr">
                <a:spAutoFit/>
              </a:bodyPr>
              <a:lstStyle/>
              <a:p>
                <a:pPr>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grafy!$A$7:$A$27</c:f>
              <c:numCache>
                <c:formatCode>General</c:formatCode>
                <c:ptCount val="21"/>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formatCode="0">
                  <c:v>2022</c:v>
                </c:pt>
                <c:pt idx="20" formatCode="0">
                  <c:v>2023</c:v>
                </c:pt>
              </c:numCache>
            </c:numRef>
          </c:cat>
          <c:val>
            <c:numRef>
              <c:f>grafy!$G$7:$G$27</c:f>
              <c:numCache>
                <c:formatCode>#,##0</c:formatCode>
                <c:ptCount val="21"/>
                <c:pt idx="0">
                  <c:v>321.02</c:v>
                </c:pt>
                <c:pt idx="1">
                  <c:v>359.41</c:v>
                </c:pt>
                <c:pt idx="2">
                  <c:v>374.26</c:v>
                </c:pt>
                <c:pt idx="3">
                  <c:v>436.29</c:v>
                </c:pt>
                <c:pt idx="4">
                  <c:v>543.66</c:v>
                </c:pt>
                <c:pt idx="5">
                  <c:v>542.03</c:v>
                </c:pt>
                <c:pt idx="6">
                  <c:v>512.89</c:v>
                </c:pt>
                <c:pt idx="7">
                  <c:v>554.78</c:v>
                </c:pt>
                <c:pt idx="8">
                  <c:v>611.83000000000004</c:v>
                </c:pt>
                <c:pt idx="9">
                  <c:v>577.20000000000005</c:v>
                </c:pt>
                <c:pt idx="10">
                  <c:v>527.52</c:v>
                </c:pt>
                <c:pt idx="11">
                  <c:v>659.92</c:v>
                </c:pt>
                <c:pt idx="12">
                  <c:v>605</c:v>
                </c:pt>
                <c:pt idx="13">
                  <c:v>601</c:v>
                </c:pt>
                <c:pt idx="14">
                  <c:v>637</c:v>
                </c:pt>
                <c:pt idx="15">
                  <c:v>652</c:v>
                </c:pt>
                <c:pt idx="16">
                  <c:v>670.41899999999998</c:v>
                </c:pt>
                <c:pt idx="17">
                  <c:v>756.80799999999999</c:v>
                </c:pt>
                <c:pt idx="18">
                  <c:v>753.97</c:v>
                </c:pt>
                <c:pt idx="19">
                  <c:v>675</c:v>
                </c:pt>
                <c:pt idx="20">
                  <c:v>703.51139999999998</c:v>
                </c:pt>
              </c:numCache>
            </c:numRef>
          </c:val>
          <c:extLst>
            <c:ext xmlns:c16="http://schemas.microsoft.com/office/drawing/2014/chart" uri="{C3380CC4-5D6E-409C-BE32-E72D297353CC}">
              <c16:uniqueId val="{00000000-621C-4F60-BE15-F333951690D8}"/>
            </c:ext>
          </c:extLst>
        </c:ser>
        <c:dLbls>
          <c:showLegendKey val="0"/>
          <c:showVal val="1"/>
          <c:showCatName val="0"/>
          <c:showSerName val="0"/>
          <c:showPercent val="0"/>
          <c:showBubbleSize val="0"/>
        </c:dLbls>
        <c:gapWidth val="115"/>
        <c:gapDepth val="298"/>
        <c:shape val="box"/>
        <c:axId val="106523648"/>
        <c:axId val="106529536"/>
        <c:axId val="0"/>
      </c:bar3DChart>
      <c:catAx>
        <c:axId val="106523648"/>
        <c:scaling>
          <c:orientation val="minMax"/>
        </c:scaling>
        <c:delete val="0"/>
        <c:axPos val="b"/>
        <c:numFmt formatCode="General" sourceLinked="1"/>
        <c:majorTickMark val="out"/>
        <c:minorTickMark val="none"/>
        <c:tickLblPos val="nextTo"/>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106529536"/>
        <c:crosses val="autoZero"/>
        <c:auto val="1"/>
        <c:lblAlgn val="ctr"/>
        <c:lblOffset val="100"/>
        <c:noMultiLvlLbl val="0"/>
      </c:catAx>
      <c:valAx>
        <c:axId val="106529536"/>
        <c:scaling>
          <c:orientation val="minMax"/>
          <c:min val="0"/>
        </c:scaling>
        <c:delete val="0"/>
        <c:axPos val="l"/>
        <c:majorGridlines/>
        <c:title>
          <c:tx>
            <c:rich>
              <a:bodyPr rot="-5400000" vert="horz"/>
              <a:lstStyle/>
              <a:p>
                <a:pPr>
                  <a:defRPr sz="800" b="0">
                    <a:latin typeface="Tahoma" panose="020B0604030504040204" pitchFamily="34" charset="0"/>
                    <a:ea typeface="Tahoma" panose="020B0604030504040204" pitchFamily="34" charset="0"/>
                    <a:cs typeface="Tahoma" panose="020B0604030504040204" pitchFamily="34" charset="0"/>
                  </a:defRPr>
                </a:pPr>
                <a:r>
                  <a:rPr lang="cs-CZ" sz="800" b="0">
                    <a:latin typeface="Tahoma" panose="020B0604030504040204" pitchFamily="34" charset="0"/>
                    <a:ea typeface="Tahoma" panose="020B0604030504040204" pitchFamily="34" charset="0"/>
                    <a:cs typeface="Tahoma" panose="020B0604030504040204" pitchFamily="34" charset="0"/>
                  </a:rPr>
                  <a:t>Množství v tunách</a:t>
                </a:r>
              </a:p>
            </c:rich>
          </c:tx>
          <c:layout>
            <c:manualLayout>
              <c:xMode val="edge"/>
              <c:yMode val="edge"/>
              <c:x val="2.0322106906315977E-2"/>
              <c:y val="0.4239635185185186"/>
            </c:manualLayout>
          </c:layout>
          <c:overlay val="0"/>
        </c:title>
        <c:numFmt formatCode="#,##0" sourceLinked="1"/>
        <c:majorTickMark val="out"/>
        <c:minorTickMark val="none"/>
        <c:tickLblPos val="nextTo"/>
        <c:txPr>
          <a:bodyPr/>
          <a:lstStyle/>
          <a:p>
            <a:pPr>
              <a:defRPr sz="900" baseline="0"/>
            </a:pPr>
            <a:endParaRPr lang="cs-CZ"/>
          </a:p>
        </c:txPr>
        <c:crossAx val="106523648"/>
        <c:crosses val="autoZero"/>
        <c:crossBetween val="between"/>
        <c:majorUnit val="100"/>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sz="1050">
                <a:latin typeface="Tahoma" panose="020B0604030504040204" pitchFamily="34" charset="0"/>
                <a:ea typeface="Tahoma" panose="020B0604030504040204" pitchFamily="34" charset="0"/>
                <a:cs typeface="Tahoma" panose="020B0604030504040204" pitchFamily="34" charset="0"/>
              </a:defRPr>
            </a:pPr>
            <a:r>
              <a:rPr lang="cs-CZ" sz="1050" b="1" i="0" baseline="0">
                <a:latin typeface="Tahoma" panose="020B0604030504040204" pitchFamily="34" charset="0"/>
                <a:ea typeface="Tahoma" panose="020B0604030504040204" pitchFamily="34" charset="0"/>
                <a:cs typeface="Tahoma" panose="020B0604030504040204" pitchFamily="34" charset="0"/>
              </a:rPr>
              <a:t>Vývoj množství plastů </a:t>
            </a:r>
            <a:r>
              <a:rPr lang="cs-CZ" sz="1050" b="1" i="0" u="none" strike="noStrike" baseline="0">
                <a:latin typeface="Tahoma" panose="020B0604030504040204" pitchFamily="34" charset="0"/>
                <a:ea typeface="Tahoma" panose="020B0604030504040204" pitchFamily="34" charset="0"/>
                <a:cs typeface="Tahoma" panose="020B0604030504040204" pitchFamily="34" charset="0"/>
              </a:rPr>
              <a:t>v letech </a:t>
            </a:r>
            <a:r>
              <a:rPr lang="cs-CZ" sz="1050" b="1" i="0" baseline="0">
                <a:latin typeface="Tahoma" panose="020B0604030504040204" pitchFamily="34" charset="0"/>
                <a:ea typeface="Tahoma" panose="020B0604030504040204" pitchFamily="34" charset="0"/>
                <a:cs typeface="Tahoma" panose="020B0604030504040204" pitchFamily="34" charset="0"/>
              </a:rPr>
              <a:t>2003</a:t>
            </a:r>
            <a:r>
              <a:rPr lang="cs-CZ" sz="1050" b="1" i="0" u="none" strike="noStrike" baseline="0">
                <a:effectLst/>
                <a:latin typeface="Tahoma" panose="020B0604030504040204" pitchFamily="34" charset="0"/>
                <a:ea typeface="Tahoma" panose="020B0604030504040204" pitchFamily="34" charset="0"/>
                <a:cs typeface="Tahoma" panose="020B0604030504040204" pitchFamily="34" charset="0"/>
              </a:rPr>
              <a:t>–</a:t>
            </a:r>
            <a:r>
              <a:rPr lang="cs-CZ" sz="1050" b="1" i="0" baseline="0">
                <a:latin typeface="Tahoma" panose="020B0604030504040204" pitchFamily="34" charset="0"/>
                <a:ea typeface="Tahoma" panose="020B0604030504040204" pitchFamily="34" charset="0"/>
                <a:cs typeface="Tahoma" panose="020B0604030504040204" pitchFamily="34" charset="0"/>
              </a:rPr>
              <a:t>2023</a:t>
            </a:r>
          </a:p>
        </c:rich>
      </c:tx>
      <c:layout>
        <c:manualLayout>
          <c:xMode val="edge"/>
          <c:yMode val="edge"/>
          <c:x val="0.26942051688940982"/>
          <c:y val="3.0131826741996232E-2"/>
        </c:manualLayout>
      </c:layout>
      <c:overlay val="0"/>
    </c:title>
    <c:autoTitleDeleted val="0"/>
    <c:view3D>
      <c:rotX val="15"/>
      <c:rotY val="20"/>
      <c:rAngAx val="1"/>
    </c:view3D>
    <c:floor>
      <c:thickness val="0"/>
      <c:spPr>
        <a:solidFill>
          <a:schemeClr val="bg1">
            <a:lumMod val="95000"/>
          </a:schemeClr>
        </a:solidFill>
      </c:spPr>
    </c:floor>
    <c:sideWall>
      <c:thickness val="0"/>
      <c:spPr>
        <a:solidFill>
          <a:schemeClr val="bg1">
            <a:lumMod val="85000"/>
          </a:schemeClr>
        </a:solidFill>
      </c:spPr>
    </c:sideWall>
    <c:backWall>
      <c:thickness val="0"/>
      <c:spPr>
        <a:solidFill>
          <a:schemeClr val="bg1">
            <a:lumMod val="85000"/>
          </a:schemeClr>
        </a:solidFill>
      </c:spPr>
    </c:backWall>
    <c:plotArea>
      <c:layout>
        <c:manualLayout>
          <c:layoutTarget val="inner"/>
          <c:xMode val="edge"/>
          <c:yMode val="edge"/>
          <c:x val="8.2376391751826039E-2"/>
          <c:y val="0.10812648148148148"/>
          <c:w val="0.9013867433285343"/>
          <c:h val="0.84236314814814817"/>
        </c:manualLayout>
      </c:layout>
      <c:bar3DChart>
        <c:barDir val="col"/>
        <c:grouping val="stacked"/>
        <c:varyColors val="0"/>
        <c:ser>
          <c:idx val="0"/>
          <c:order val="0"/>
          <c:tx>
            <c:strRef>
              <c:f>grafy!$H$7:$H$27</c:f>
              <c:strCache>
                <c:ptCount val="21"/>
                <c:pt idx="0">
                  <c:v>245</c:v>
                </c:pt>
                <c:pt idx="1">
                  <c:v>276</c:v>
                </c:pt>
                <c:pt idx="2">
                  <c:v>285</c:v>
                </c:pt>
                <c:pt idx="3">
                  <c:v>286</c:v>
                </c:pt>
                <c:pt idx="4">
                  <c:v>322</c:v>
                </c:pt>
                <c:pt idx="5">
                  <c:v>354</c:v>
                </c:pt>
                <c:pt idx="6">
                  <c:v>391</c:v>
                </c:pt>
                <c:pt idx="7">
                  <c:v>411</c:v>
                </c:pt>
                <c:pt idx="8">
                  <c:v>452</c:v>
                </c:pt>
                <c:pt idx="9">
                  <c:v>466</c:v>
                </c:pt>
                <c:pt idx="10">
                  <c:v>452</c:v>
                </c:pt>
                <c:pt idx="11">
                  <c:v>471</c:v>
                </c:pt>
                <c:pt idx="12">
                  <c:v>483</c:v>
                </c:pt>
                <c:pt idx="13">
                  <c:v>564</c:v>
                </c:pt>
                <c:pt idx="14">
                  <c:v>583</c:v>
                </c:pt>
                <c:pt idx="15">
                  <c:v>578</c:v>
                </c:pt>
                <c:pt idx="16">
                  <c:v>671</c:v>
                </c:pt>
                <c:pt idx="17">
                  <c:v>736</c:v>
                </c:pt>
                <c:pt idx="18">
                  <c:v>777</c:v>
                </c:pt>
                <c:pt idx="19">
                  <c:v>715</c:v>
                </c:pt>
                <c:pt idx="20">
                  <c:v>720</c:v>
                </c:pt>
              </c:strCache>
            </c:strRef>
          </c:tx>
          <c:spPr>
            <a:solidFill>
              <a:srgbClr val="E9E40E"/>
            </a:solidFill>
            <a:ln>
              <a:noFill/>
            </a:ln>
          </c:spPr>
          <c:invertIfNegative val="0"/>
          <c:dLbls>
            <c:spPr>
              <a:solidFill>
                <a:srgbClr val="F9FBBB"/>
              </a:solidFill>
            </c:spPr>
            <c:txPr>
              <a:bodyPr rot="-5400000" vert="horz"/>
              <a:lstStyle/>
              <a:p>
                <a:pPr>
                  <a:defRPr sz="1000" baseline="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grafy!$A$7:$A$27</c:f>
              <c:numCache>
                <c:formatCode>General</c:formatCode>
                <c:ptCount val="21"/>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formatCode="0">
                  <c:v>2022</c:v>
                </c:pt>
                <c:pt idx="20" formatCode="0">
                  <c:v>2023</c:v>
                </c:pt>
              </c:numCache>
            </c:numRef>
          </c:cat>
          <c:val>
            <c:numRef>
              <c:f>grafy!$H$7:$H$27</c:f>
              <c:numCache>
                <c:formatCode>#,##0</c:formatCode>
                <c:ptCount val="21"/>
                <c:pt idx="0">
                  <c:v>244.58</c:v>
                </c:pt>
                <c:pt idx="1">
                  <c:v>275.74</c:v>
                </c:pt>
                <c:pt idx="2">
                  <c:v>285.33999999999997</c:v>
                </c:pt>
                <c:pt idx="3">
                  <c:v>286.13</c:v>
                </c:pt>
                <c:pt idx="4">
                  <c:v>322.19</c:v>
                </c:pt>
                <c:pt idx="5">
                  <c:v>354.18</c:v>
                </c:pt>
                <c:pt idx="6">
                  <c:v>391.06</c:v>
                </c:pt>
                <c:pt idx="7">
                  <c:v>411.36</c:v>
                </c:pt>
                <c:pt idx="8">
                  <c:v>451.73</c:v>
                </c:pt>
                <c:pt idx="9">
                  <c:v>465.9</c:v>
                </c:pt>
                <c:pt idx="10">
                  <c:v>452.09</c:v>
                </c:pt>
                <c:pt idx="11">
                  <c:v>471.46</c:v>
                </c:pt>
                <c:pt idx="12">
                  <c:v>483</c:v>
                </c:pt>
                <c:pt idx="13">
                  <c:v>564</c:v>
                </c:pt>
                <c:pt idx="14">
                  <c:v>583</c:v>
                </c:pt>
                <c:pt idx="15">
                  <c:v>578</c:v>
                </c:pt>
                <c:pt idx="16">
                  <c:v>670.83500000000004</c:v>
                </c:pt>
                <c:pt idx="17">
                  <c:v>736</c:v>
                </c:pt>
                <c:pt idx="18">
                  <c:v>776.57</c:v>
                </c:pt>
                <c:pt idx="19">
                  <c:v>715</c:v>
                </c:pt>
                <c:pt idx="20">
                  <c:v>720.10109999999997</c:v>
                </c:pt>
              </c:numCache>
            </c:numRef>
          </c:val>
          <c:extLst>
            <c:ext xmlns:c16="http://schemas.microsoft.com/office/drawing/2014/chart" uri="{C3380CC4-5D6E-409C-BE32-E72D297353CC}">
              <c16:uniqueId val="{00000000-3D8E-4575-98E1-0CC315EDC492}"/>
            </c:ext>
          </c:extLst>
        </c:ser>
        <c:dLbls>
          <c:showLegendKey val="0"/>
          <c:showVal val="1"/>
          <c:showCatName val="0"/>
          <c:showSerName val="0"/>
          <c:showPercent val="0"/>
          <c:showBubbleSize val="0"/>
        </c:dLbls>
        <c:gapWidth val="115"/>
        <c:gapDepth val="298"/>
        <c:shape val="box"/>
        <c:axId val="106694144"/>
        <c:axId val="106695680"/>
        <c:axId val="0"/>
      </c:bar3DChart>
      <c:catAx>
        <c:axId val="106694144"/>
        <c:scaling>
          <c:orientation val="minMax"/>
        </c:scaling>
        <c:delete val="0"/>
        <c:axPos val="b"/>
        <c:numFmt formatCode="General" sourceLinked="1"/>
        <c:majorTickMark val="out"/>
        <c:minorTickMark val="none"/>
        <c:tickLblPos val="nextTo"/>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106695680"/>
        <c:crosses val="autoZero"/>
        <c:auto val="1"/>
        <c:lblAlgn val="ctr"/>
        <c:lblOffset val="100"/>
        <c:noMultiLvlLbl val="0"/>
      </c:catAx>
      <c:valAx>
        <c:axId val="106695680"/>
        <c:scaling>
          <c:orientation val="minMax"/>
          <c:min val="0"/>
        </c:scaling>
        <c:delete val="0"/>
        <c:axPos val="l"/>
        <c:majorGridlines/>
        <c:title>
          <c:tx>
            <c:rich>
              <a:bodyPr rot="-5400000" vert="horz"/>
              <a:lstStyle/>
              <a:p>
                <a:pPr>
                  <a:defRPr sz="800" b="0">
                    <a:latin typeface="Tahoma" panose="020B0604030504040204" pitchFamily="34" charset="0"/>
                    <a:ea typeface="Tahoma" panose="020B0604030504040204" pitchFamily="34" charset="0"/>
                    <a:cs typeface="Tahoma" panose="020B0604030504040204" pitchFamily="34" charset="0"/>
                  </a:defRPr>
                </a:pPr>
                <a:r>
                  <a:rPr lang="cs-CZ" sz="800" b="0">
                    <a:latin typeface="Tahoma" panose="020B0604030504040204" pitchFamily="34" charset="0"/>
                    <a:ea typeface="Tahoma" panose="020B0604030504040204" pitchFamily="34" charset="0"/>
                    <a:cs typeface="Tahoma" panose="020B0604030504040204" pitchFamily="34" charset="0"/>
                  </a:rPr>
                  <a:t>Množství v tunách</a:t>
                </a:r>
              </a:p>
            </c:rich>
          </c:tx>
          <c:layout>
            <c:manualLayout>
              <c:xMode val="edge"/>
              <c:yMode val="edge"/>
              <c:x val="2.2493834613101074E-2"/>
              <c:y val="0.41246037037037037"/>
            </c:manualLayout>
          </c:layout>
          <c:overlay val="0"/>
        </c:title>
        <c:numFmt formatCode="#,##0" sourceLinked="1"/>
        <c:majorTickMark val="out"/>
        <c:minorTickMark val="none"/>
        <c:tickLblPos val="nextTo"/>
        <c:txPr>
          <a:bodyPr/>
          <a:lstStyle/>
          <a:p>
            <a:pPr>
              <a:defRPr sz="900" baseline="0"/>
            </a:pPr>
            <a:endParaRPr lang="cs-CZ"/>
          </a:p>
        </c:txPr>
        <c:crossAx val="106694144"/>
        <c:crosses val="autoZero"/>
        <c:crossBetween val="between"/>
        <c:majorUnit val="100"/>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r>
              <a:rPr lang="cs-CZ" sz="1050" b="1" i="0" baseline="0">
                <a:latin typeface="Tahoma" panose="020B0604030504040204" pitchFamily="34" charset="0"/>
                <a:ea typeface="Tahoma" panose="020B0604030504040204" pitchFamily="34" charset="0"/>
                <a:cs typeface="Tahoma" panose="020B0604030504040204" pitchFamily="34" charset="0"/>
              </a:rPr>
              <a:t>Vývoj množství objemného odpadu v letech 2003</a:t>
            </a:r>
            <a:r>
              <a:rPr lang="cs-CZ" sz="1050">
                <a:effectLst/>
                <a:latin typeface="Tahoma" panose="020B0604030504040204" pitchFamily="34" charset="0"/>
                <a:ea typeface="Tahoma" panose="020B0604030504040204" pitchFamily="34" charset="0"/>
                <a:cs typeface="Tahoma" panose="020B0604030504040204" pitchFamily="34" charset="0"/>
              </a:rPr>
              <a:t>–</a:t>
            </a:r>
            <a:r>
              <a:rPr lang="cs-CZ" sz="1050" b="1" i="0" baseline="0">
                <a:latin typeface="Tahoma" panose="020B0604030504040204" pitchFamily="34" charset="0"/>
                <a:ea typeface="Tahoma" panose="020B0604030504040204" pitchFamily="34" charset="0"/>
                <a:cs typeface="Tahoma" panose="020B0604030504040204" pitchFamily="34" charset="0"/>
              </a:rPr>
              <a:t>2023</a:t>
            </a:r>
          </a:p>
        </c:rich>
      </c:tx>
      <c:overlay val="0"/>
    </c:title>
    <c:autoTitleDeleted val="0"/>
    <c:view3D>
      <c:rotX val="15"/>
      <c:rotY val="20"/>
      <c:rAngAx val="1"/>
    </c:view3D>
    <c:floor>
      <c:thickness val="0"/>
      <c:spPr>
        <a:solidFill>
          <a:schemeClr val="bg1">
            <a:lumMod val="95000"/>
          </a:schemeClr>
        </a:solidFill>
      </c:spPr>
    </c:floor>
    <c:sideWall>
      <c:thickness val="0"/>
      <c:spPr>
        <a:solidFill>
          <a:schemeClr val="bg1">
            <a:lumMod val="85000"/>
          </a:schemeClr>
        </a:solidFill>
      </c:spPr>
    </c:sideWall>
    <c:backWall>
      <c:thickness val="0"/>
      <c:spPr>
        <a:solidFill>
          <a:schemeClr val="bg1">
            <a:lumMod val="85000"/>
          </a:schemeClr>
        </a:solidFill>
      </c:spPr>
    </c:backWall>
    <c:plotArea>
      <c:layout/>
      <c:bar3DChart>
        <c:barDir val="col"/>
        <c:grouping val="stacked"/>
        <c:varyColors val="0"/>
        <c:ser>
          <c:idx val="0"/>
          <c:order val="0"/>
          <c:tx>
            <c:strRef>
              <c:f>grafy!$J$7:$J$27</c:f>
              <c:strCache>
                <c:ptCount val="21"/>
                <c:pt idx="0">
                  <c:v>512</c:v>
                </c:pt>
                <c:pt idx="1">
                  <c:v>313</c:v>
                </c:pt>
                <c:pt idx="2">
                  <c:v>674</c:v>
                </c:pt>
                <c:pt idx="3">
                  <c:v>1 131</c:v>
                </c:pt>
                <c:pt idx="4">
                  <c:v>1 397</c:v>
                </c:pt>
                <c:pt idx="5">
                  <c:v>1 891</c:v>
                </c:pt>
                <c:pt idx="6">
                  <c:v>1 981</c:v>
                </c:pt>
                <c:pt idx="7">
                  <c:v>1 899</c:v>
                </c:pt>
                <c:pt idx="8">
                  <c:v>1 708</c:v>
                </c:pt>
                <c:pt idx="9">
                  <c:v>1 422</c:v>
                </c:pt>
                <c:pt idx="10">
                  <c:v>1 423</c:v>
                </c:pt>
                <c:pt idx="11">
                  <c:v>1 529</c:v>
                </c:pt>
                <c:pt idx="12">
                  <c:v>1 576</c:v>
                </c:pt>
                <c:pt idx="13">
                  <c:v>1 793</c:v>
                </c:pt>
                <c:pt idx="14">
                  <c:v>1 985</c:v>
                </c:pt>
                <c:pt idx="15">
                  <c:v>2 236</c:v>
                </c:pt>
                <c:pt idx="16">
                  <c:v>2 688</c:v>
                </c:pt>
                <c:pt idx="17">
                  <c:v>2 952</c:v>
                </c:pt>
                <c:pt idx="18">
                  <c:v>3 042</c:v>
                </c:pt>
                <c:pt idx="19">
                  <c:v>2 218</c:v>
                </c:pt>
                <c:pt idx="20">
                  <c:v>2 250</c:v>
                </c:pt>
              </c:strCache>
            </c:strRef>
          </c:tx>
          <c:spPr>
            <a:blipFill>
              <a:blip xmlns:r="http://schemas.openxmlformats.org/officeDocument/2006/relationships" r:embed="rId1"/>
              <a:tile tx="0" ty="0" sx="100000" sy="100000" flip="none" algn="tl"/>
            </a:blipFill>
            <a:ln>
              <a:noFill/>
            </a:ln>
          </c:spPr>
          <c:invertIfNegative val="0"/>
          <c:dLbls>
            <c:dLbl>
              <c:idx val="7"/>
              <c:layout>
                <c:manualLayout>
                  <c:x val="-2.1197668256492564E-3"/>
                  <c:y val="6.92400900121170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91-4D3E-BA0E-DDC8E89114E5}"/>
                </c:ext>
              </c:extLst>
            </c:dLbl>
            <c:dLbl>
              <c:idx val="9"/>
              <c:layout>
                <c:manualLayout>
                  <c:x val="-3.1982625627502217E-3"/>
                  <c:y val="4.7037037037037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FD1-4B97-95D9-9D0B4D79183D}"/>
                </c:ext>
              </c:extLst>
            </c:dLbl>
            <c:dLbl>
              <c:idx val="10"/>
              <c:layout>
                <c:manualLayout>
                  <c:x val="0"/>
                  <c:y val="2.82222222222222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D1-4B97-95D9-9D0B4D79183D}"/>
                </c:ext>
              </c:extLst>
            </c:dLbl>
            <c:dLbl>
              <c:idx val="11"/>
              <c:layout>
                <c:manualLayout>
                  <c:x val="0"/>
                  <c:y val="1.64629629629628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FD1-4B97-95D9-9D0B4D79183D}"/>
                </c:ext>
              </c:extLst>
            </c:dLbl>
            <c:dLbl>
              <c:idx val="12"/>
              <c:layout>
                <c:manualLayout>
                  <c:x val="0"/>
                  <c:y val="-7.05555555555555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D1-4B97-95D9-9D0B4D79183D}"/>
                </c:ext>
              </c:extLst>
            </c:dLbl>
            <c:dLbl>
              <c:idx val="13"/>
              <c:layout>
                <c:manualLayout>
                  <c:x val="0"/>
                  <c:y val="-1.41111111111111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FD1-4B97-95D9-9D0B4D79183D}"/>
                </c:ext>
              </c:extLst>
            </c:dLbl>
            <c:dLbl>
              <c:idx val="14"/>
              <c:layout>
                <c:manualLayout>
                  <c:x val="3.1982625627501632E-3"/>
                  <c:y val="-2.35185185185185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FD1-4B97-95D9-9D0B4D79183D}"/>
                </c:ext>
              </c:extLst>
            </c:dLbl>
            <c:dLbl>
              <c:idx val="15"/>
              <c:layout>
                <c:manualLayout>
                  <c:x val="-1.1726825784181503E-16"/>
                  <c:y val="-3.52777777777778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FD1-4B97-95D9-9D0B4D79183D}"/>
                </c:ext>
              </c:extLst>
            </c:dLbl>
            <c:dLbl>
              <c:idx val="16"/>
              <c:layout>
                <c:manualLayout>
                  <c:x val="1.599131281374964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FD1-4B97-95D9-9D0B4D79183D}"/>
                </c:ext>
              </c:extLst>
            </c:dLbl>
            <c:dLbl>
              <c:idx val="18"/>
              <c:layout>
                <c:manualLayout>
                  <c:x val="1.5991312813749643E-3"/>
                  <c:y val="-3.52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FD1-4B97-95D9-9D0B4D79183D}"/>
                </c:ext>
              </c:extLst>
            </c:dLbl>
            <c:dLbl>
              <c:idx val="20"/>
              <c:layout>
                <c:manualLayout>
                  <c:x val="3.1982621600382686E-3"/>
                  <c:y val="-3.52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FD1-4B97-95D9-9D0B4D79183D}"/>
                </c:ext>
              </c:extLst>
            </c:dLbl>
            <c:spPr>
              <a:solidFill>
                <a:srgbClr val="DADCF2"/>
              </a:solidFill>
              <a:ln>
                <a:solidFill>
                  <a:sysClr val="windowText" lastClr="000000"/>
                </a:solidFill>
              </a:ln>
            </c:spPr>
            <c:txPr>
              <a:bodyPr rot="-5400000" vert="horz"/>
              <a:lstStyle/>
              <a:p>
                <a:pPr>
                  <a:defRPr sz="1000" baseline="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grafy!$A$7:$A$27</c:f>
              <c:numCache>
                <c:formatCode>General</c:formatCode>
                <c:ptCount val="21"/>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formatCode="0">
                  <c:v>2022</c:v>
                </c:pt>
                <c:pt idx="20" formatCode="0">
                  <c:v>2023</c:v>
                </c:pt>
              </c:numCache>
            </c:numRef>
          </c:cat>
          <c:val>
            <c:numRef>
              <c:f>grafy!$J$7:$J$27</c:f>
              <c:numCache>
                <c:formatCode>#,##0</c:formatCode>
                <c:ptCount val="21"/>
                <c:pt idx="0">
                  <c:v>511.72</c:v>
                </c:pt>
                <c:pt idx="1">
                  <c:v>312.82</c:v>
                </c:pt>
                <c:pt idx="2">
                  <c:v>674.3</c:v>
                </c:pt>
                <c:pt idx="3">
                  <c:v>1130.81</c:v>
                </c:pt>
                <c:pt idx="4">
                  <c:v>1396.81</c:v>
                </c:pt>
                <c:pt idx="5">
                  <c:v>1891.49</c:v>
                </c:pt>
                <c:pt idx="6">
                  <c:v>1980.51</c:v>
                </c:pt>
                <c:pt idx="7">
                  <c:v>1899.47</c:v>
                </c:pt>
                <c:pt idx="8">
                  <c:v>1708.17</c:v>
                </c:pt>
                <c:pt idx="9">
                  <c:v>1421.81</c:v>
                </c:pt>
                <c:pt idx="10">
                  <c:v>1422.77</c:v>
                </c:pt>
                <c:pt idx="11">
                  <c:v>1529.42</c:v>
                </c:pt>
                <c:pt idx="12">
                  <c:v>1576</c:v>
                </c:pt>
                <c:pt idx="13">
                  <c:v>1793</c:v>
                </c:pt>
                <c:pt idx="14">
                  <c:v>1985</c:v>
                </c:pt>
                <c:pt idx="15">
                  <c:v>2236</c:v>
                </c:pt>
                <c:pt idx="16">
                  <c:v>2688.3649999999998</c:v>
                </c:pt>
                <c:pt idx="17">
                  <c:v>2952</c:v>
                </c:pt>
                <c:pt idx="18">
                  <c:v>3041.97</c:v>
                </c:pt>
                <c:pt idx="19">
                  <c:v>2218</c:v>
                </c:pt>
                <c:pt idx="20">
                  <c:v>2250.37</c:v>
                </c:pt>
              </c:numCache>
            </c:numRef>
          </c:val>
          <c:extLst>
            <c:ext xmlns:c16="http://schemas.microsoft.com/office/drawing/2014/chart" uri="{C3380CC4-5D6E-409C-BE32-E72D297353CC}">
              <c16:uniqueId val="{0000000A-BFD1-4B97-95D9-9D0B4D79183D}"/>
            </c:ext>
          </c:extLst>
        </c:ser>
        <c:dLbls>
          <c:showLegendKey val="0"/>
          <c:showVal val="1"/>
          <c:showCatName val="0"/>
          <c:showSerName val="0"/>
          <c:showPercent val="0"/>
          <c:showBubbleSize val="0"/>
        </c:dLbls>
        <c:gapWidth val="115"/>
        <c:gapDepth val="298"/>
        <c:shape val="box"/>
        <c:axId val="126418944"/>
        <c:axId val="126420480"/>
        <c:axId val="0"/>
      </c:bar3DChart>
      <c:catAx>
        <c:axId val="126418944"/>
        <c:scaling>
          <c:orientation val="minMax"/>
        </c:scaling>
        <c:delete val="0"/>
        <c:axPos val="b"/>
        <c:numFmt formatCode="General" sourceLinked="1"/>
        <c:majorTickMark val="out"/>
        <c:minorTickMark val="none"/>
        <c:tickLblPos val="nextTo"/>
        <c:txPr>
          <a:bodyPr/>
          <a:lstStyle/>
          <a:p>
            <a:pPr>
              <a:defRPr sz="700">
                <a:latin typeface="Tahoma" panose="020B0604030504040204" pitchFamily="34" charset="0"/>
                <a:ea typeface="Tahoma" panose="020B0604030504040204" pitchFamily="34" charset="0"/>
                <a:cs typeface="Tahoma" panose="020B0604030504040204" pitchFamily="34" charset="0"/>
              </a:defRPr>
            </a:pPr>
            <a:endParaRPr lang="cs-CZ"/>
          </a:p>
        </c:txPr>
        <c:crossAx val="126420480"/>
        <c:crosses val="autoZero"/>
        <c:auto val="1"/>
        <c:lblAlgn val="ctr"/>
        <c:lblOffset val="100"/>
        <c:noMultiLvlLbl val="0"/>
      </c:catAx>
      <c:valAx>
        <c:axId val="126420480"/>
        <c:scaling>
          <c:orientation val="minMax"/>
          <c:max val="3000"/>
          <c:min val="0"/>
        </c:scaling>
        <c:delete val="0"/>
        <c:axPos val="l"/>
        <c:majorGridlines/>
        <c:title>
          <c:tx>
            <c:rich>
              <a:bodyPr rot="-5400000" vert="horz"/>
              <a:lstStyle/>
              <a:p>
                <a:pPr>
                  <a:defRPr>
                    <a:latin typeface="Tahoma" panose="020B0604030504040204" pitchFamily="34" charset="0"/>
                    <a:ea typeface="Tahoma" panose="020B0604030504040204" pitchFamily="34" charset="0"/>
                    <a:cs typeface="Tahoma" panose="020B0604030504040204" pitchFamily="34" charset="0"/>
                  </a:defRPr>
                </a:pPr>
                <a:r>
                  <a:rPr lang="cs-CZ">
                    <a:latin typeface="Tahoma" panose="020B0604030504040204" pitchFamily="34" charset="0"/>
                    <a:ea typeface="Tahoma" panose="020B0604030504040204" pitchFamily="34" charset="0"/>
                    <a:cs typeface="Tahoma" panose="020B0604030504040204" pitchFamily="34" charset="0"/>
                  </a:rPr>
                  <a:t>Množství v tunách</a:t>
                </a:r>
              </a:p>
            </c:rich>
          </c:tx>
          <c:layout>
            <c:manualLayout>
              <c:xMode val="edge"/>
              <c:yMode val="edge"/>
              <c:x val="1.218374192391586E-2"/>
              <c:y val="0.38195314814814818"/>
            </c:manualLayout>
          </c:layout>
          <c:overlay val="0"/>
        </c:title>
        <c:numFmt formatCode="#,##0" sourceLinked="1"/>
        <c:majorTickMark val="out"/>
        <c:minorTickMark val="none"/>
        <c:tickLblPos val="nextTo"/>
        <c:txPr>
          <a:bodyPr/>
          <a:lstStyle/>
          <a:p>
            <a:pPr>
              <a:defRPr sz="1000" baseline="0">
                <a:latin typeface="Tahoma" panose="020B0604030504040204" pitchFamily="34" charset="0"/>
                <a:ea typeface="Tahoma" panose="020B0604030504040204" pitchFamily="34" charset="0"/>
                <a:cs typeface="Tahoma" panose="020B0604030504040204" pitchFamily="34" charset="0"/>
              </a:defRPr>
            </a:pPr>
            <a:endParaRPr lang="cs-CZ"/>
          </a:p>
        </c:txPr>
        <c:crossAx val="126418944"/>
        <c:crosses val="autoZero"/>
        <c:crossBetween val="between"/>
        <c:majorUnit val="500"/>
      </c:valAx>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r>
              <a:rPr lang="cs-CZ" sz="1050" b="1" i="0" baseline="0">
                <a:latin typeface="Tahoma" panose="020B0604030504040204" pitchFamily="34" charset="0"/>
                <a:ea typeface="Tahoma" panose="020B0604030504040204" pitchFamily="34" charset="0"/>
                <a:cs typeface="Tahoma" panose="020B0604030504040204" pitchFamily="34" charset="0"/>
              </a:rPr>
              <a:t>Vývoj množství biologického odpadu v letech 2016</a:t>
            </a:r>
            <a:r>
              <a:rPr lang="cs-CZ" sz="1050">
                <a:effectLst/>
                <a:latin typeface="Tahoma" panose="020B0604030504040204" pitchFamily="34" charset="0"/>
                <a:ea typeface="Tahoma" panose="020B0604030504040204" pitchFamily="34" charset="0"/>
                <a:cs typeface="Tahoma" panose="020B0604030504040204" pitchFamily="34" charset="0"/>
              </a:rPr>
              <a:t>–</a:t>
            </a:r>
            <a:r>
              <a:rPr lang="cs-CZ" sz="1050" b="1" i="0" baseline="0">
                <a:latin typeface="Tahoma" panose="020B0604030504040204" pitchFamily="34" charset="0"/>
                <a:ea typeface="Tahoma" panose="020B0604030504040204" pitchFamily="34" charset="0"/>
                <a:cs typeface="Tahoma" panose="020B0604030504040204" pitchFamily="34" charset="0"/>
              </a:rPr>
              <a:t>2023</a:t>
            </a:r>
          </a:p>
        </c:rich>
      </c:tx>
      <c:overlay val="0"/>
    </c:title>
    <c:autoTitleDeleted val="0"/>
    <c:view3D>
      <c:rotX val="15"/>
      <c:rotY val="20"/>
      <c:rAngAx val="1"/>
    </c:view3D>
    <c:floor>
      <c:thickness val="0"/>
      <c:spPr>
        <a:solidFill>
          <a:schemeClr val="bg1">
            <a:lumMod val="95000"/>
          </a:schemeClr>
        </a:solidFill>
      </c:spPr>
    </c:floor>
    <c:sideWall>
      <c:thickness val="0"/>
      <c:spPr>
        <a:solidFill>
          <a:schemeClr val="bg1">
            <a:lumMod val="85000"/>
          </a:schemeClr>
        </a:solidFill>
      </c:spPr>
    </c:sideWall>
    <c:backWall>
      <c:thickness val="0"/>
      <c:spPr>
        <a:solidFill>
          <a:schemeClr val="bg1">
            <a:lumMod val="85000"/>
          </a:schemeClr>
        </a:solidFill>
      </c:spPr>
    </c:backWall>
    <c:plotArea>
      <c:layout/>
      <c:bar3DChart>
        <c:barDir val="col"/>
        <c:grouping val="stacked"/>
        <c:varyColors val="0"/>
        <c:ser>
          <c:idx val="0"/>
          <c:order val="0"/>
          <c:tx>
            <c:strRef>
              <c:f>grafy!$L$20:$L$27</c:f>
              <c:strCache>
                <c:ptCount val="8"/>
                <c:pt idx="0">
                  <c:v>4 797</c:v>
                </c:pt>
                <c:pt idx="1">
                  <c:v>4 897</c:v>
                </c:pt>
                <c:pt idx="2">
                  <c:v>5 286</c:v>
                </c:pt>
                <c:pt idx="3">
                  <c:v>4 802</c:v>
                </c:pt>
                <c:pt idx="4">
                  <c:v>5 192</c:v>
                </c:pt>
                <c:pt idx="5">
                  <c:v>4 973</c:v>
                </c:pt>
                <c:pt idx="6">
                  <c:v>4 878</c:v>
                </c:pt>
                <c:pt idx="7">
                  <c:v>5 073</c:v>
                </c:pt>
              </c:strCache>
            </c:strRef>
          </c:tx>
          <c:spPr>
            <a:pattFill prst="pct90">
              <a:fgClr>
                <a:srgbClr val="5FDF41"/>
              </a:fgClr>
              <a:bgClr>
                <a:srgbClr val="FFFF00"/>
              </a:bgClr>
            </a:pattFill>
            <a:ln>
              <a:solidFill>
                <a:schemeClr val="accent6">
                  <a:lumMod val="50000"/>
                </a:schemeClr>
              </a:solidFill>
            </a:ln>
          </c:spPr>
          <c:invertIfNegative val="0"/>
          <c:dLbls>
            <c:spPr>
              <a:solidFill>
                <a:schemeClr val="accent6">
                  <a:lumMod val="40000"/>
                  <a:lumOff val="60000"/>
                </a:schemeClr>
              </a:solidFill>
            </c:spPr>
            <c:txPr>
              <a:bodyPr rot="-5400000" vert="horz"/>
              <a:lstStyle/>
              <a:p>
                <a:pPr>
                  <a:defRPr sz="1200" baseline="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grafy!$A$20:$A$27</c:f>
              <c:numCache>
                <c:formatCode>General</c:formatCode>
                <c:ptCount val="8"/>
                <c:pt idx="0">
                  <c:v>2016</c:v>
                </c:pt>
                <c:pt idx="1">
                  <c:v>2017</c:v>
                </c:pt>
                <c:pt idx="2">
                  <c:v>2018</c:v>
                </c:pt>
                <c:pt idx="3">
                  <c:v>2019</c:v>
                </c:pt>
                <c:pt idx="4">
                  <c:v>2020</c:v>
                </c:pt>
                <c:pt idx="5">
                  <c:v>2021</c:v>
                </c:pt>
                <c:pt idx="6" formatCode="0">
                  <c:v>2022</c:v>
                </c:pt>
                <c:pt idx="7" formatCode="0">
                  <c:v>2023</c:v>
                </c:pt>
              </c:numCache>
            </c:numRef>
          </c:cat>
          <c:val>
            <c:numRef>
              <c:f>grafy!$L$20:$L$27</c:f>
              <c:numCache>
                <c:formatCode>#,##0</c:formatCode>
                <c:ptCount val="8"/>
                <c:pt idx="0">
                  <c:v>4797</c:v>
                </c:pt>
                <c:pt idx="1">
                  <c:v>4897</c:v>
                </c:pt>
                <c:pt idx="2">
                  <c:v>5286</c:v>
                </c:pt>
                <c:pt idx="3">
                  <c:v>4801.88</c:v>
                </c:pt>
                <c:pt idx="4">
                  <c:v>5192</c:v>
                </c:pt>
                <c:pt idx="5">
                  <c:v>4972.93</c:v>
                </c:pt>
                <c:pt idx="6">
                  <c:v>4878</c:v>
                </c:pt>
                <c:pt idx="7">
                  <c:v>5073.3599999999997</c:v>
                </c:pt>
              </c:numCache>
            </c:numRef>
          </c:val>
          <c:extLst>
            <c:ext xmlns:c16="http://schemas.microsoft.com/office/drawing/2014/chart" uri="{C3380CC4-5D6E-409C-BE32-E72D297353CC}">
              <c16:uniqueId val="{00000000-08E0-4C51-8F40-6D51AD195EEC}"/>
            </c:ext>
          </c:extLst>
        </c:ser>
        <c:dLbls>
          <c:showLegendKey val="0"/>
          <c:showVal val="1"/>
          <c:showCatName val="0"/>
          <c:showSerName val="0"/>
          <c:showPercent val="0"/>
          <c:showBubbleSize val="0"/>
        </c:dLbls>
        <c:gapWidth val="115"/>
        <c:gapDepth val="298"/>
        <c:shape val="box"/>
        <c:axId val="126418944"/>
        <c:axId val="126420480"/>
        <c:axId val="0"/>
      </c:bar3DChart>
      <c:catAx>
        <c:axId val="126418944"/>
        <c:scaling>
          <c:orientation val="minMax"/>
        </c:scaling>
        <c:delete val="0"/>
        <c:axPos val="b"/>
        <c:numFmt formatCode="General" sourceLinked="1"/>
        <c:majorTickMark val="out"/>
        <c:minorTickMark val="none"/>
        <c:tickLblPos val="nextTo"/>
        <c:txPr>
          <a:bodyPr/>
          <a:lstStyle/>
          <a:p>
            <a:pPr>
              <a:defRPr sz="1000">
                <a:latin typeface="Tahoma" panose="020B0604030504040204" pitchFamily="34" charset="0"/>
                <a:ea typeface="Tahoma" panose="020B0604030504040204" pitchFamily="34" charset="0"/>
                <a:cs typeface="Tahoma" panose="020B0604030504040204" pitchFamily="34" charset="0"/>
              </a:defRPr>
            </a:pPr>
            <a:endParaRPr lang="cs-CZ"/>
          </a:p>
        </c:txPr>
        <c:crossAx val="126420480"/>
        <c:crosses val="autoZero"/>
        <c:auto val="1"/>
        <c:lblAlgn val="ctr"/>
        <c:lblOffset val="100"/>
        <c:noMultiLvlLbl val="0"/>
      </c:catAx>
      <c:valAx>
        <c:axId val="126420480"/>
        <c:scaling>
          <c:orientation val="minMax"/>
          <c:min val="0"/>
        </c:scaling>
        <c:delete val="0"/>
        <c:axPos val="l"/>
        <c:majorGridlines/>
        <c:title>
          <c:tx>
            <c:rich>
              <a:bodyPr rot="-5400000" vert="horz"/>
              <a:lstStyle/>
              <a:p>
                <a:pPr>
                  <a:defRPr>
                    <a:latin typeface="Tahoma" panose="020B0604030504040204" pitchFamily="34" charset="0"/>
                    <a:ea typeface="Tahoma" panose="020B0604030504040204" pitchFamily="34" charset="0"/>
                    <a:cs typeface="Tahoma" panose="020B0604030504040204" pitchFamily="34" charset="0"/>
                  </a:defRPr>
                </a:pPr>
                <a:r>
                  <a:rPr lang="cs-CZ">
                    <a:latin typeface="Tahoma" panose="020B0604030504040204" pitchFamily="34" charset="0"/>
                    <a:ea typeface="Tahoma" panose="020B0604030504040204" pitchFamily="34" charset="0"/>
                    <a:cs typeface="Tahoma" panose="020B0604030504040204" pitchFamily="34" charset="0"/>
                  </a:rPr>
                  <a:t>Množství v tunách</a:t>
                </a:r>
              </a:p>
            </c:rich>
          </c:tx>
          <c:layout>
            <c:manualLayout>
              <c:xMode val="edge"/>
              <c:yMode val="edge"/>
              <c:x val="1.109697472026523E-2"/>
              <c:y val="0.38195310219415546"/>
            </c:manualLayout>
          </c:layout>
          <c:overlay val="0"/>
        </c:title>
        <c:numFmt formatCode="#,##0" sourceLinked="1"/>
        <c:majorTickMark val="out"/>
        <c:minorTickMark val="none"/>
        <c:tickLblPos val="nextTo"/>
        <c:txPr>
          <a:bodyPr/>
          <a:lstStyle/>
          <a:p>
            <a:pPr>
              <a:defRPr sz="900" baseline="0"/>
            </a:pPr>
            <a:endParaRPr lang="cs-CZ"/>
          </a:p>
        </c:txPr>
        <c:crossAx val="126418944"/>
        <c:crosses val="autoZero"/>
        <c:crossBetween val="between"/>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sz="1050">
                <a:latin typeface="Tahoma" panose="020B0604030504040204" pitchFamily="34" charset="0"/>
                <a:ea typeface="Tahoma" panose="020B0604030504040204" pitchFamily="34" charset="0"/>
                <a:cs typeface="Tahoma" panose="020B0604030504040204" pitchFamily="34" charset="0"/>
              </a:defRPr>
            </a:pPr>
            <a:r>
              <a:rPr lang="cs-CZ" sz="1050" b="1" i="0" baseline="0">
                <a:latin typeface="Tahoma" panose="020B0604030504040204" pitchFamily="34" charset="0"/>
                <a:ea typeface="Tahoma" panose="020B0604030504040204" pitchFamily="34" charset="0"/>
                <a:cs typeface="Tahoma" panose="020B0604030504040204" pitchFamily="34" charset="0"/>
              </a:rPr>
              <a:t>Vývoj množství nebezpečného odpadu </a:t>
            </a:r>
            <a:r>
              <a:rPr lang="cs-CZ" sz="1050" b="1" i="0" u="none" strike="noStrike" baseline="0">
                <a:latin typeface="Tahoma" panose="020B0604030504040204" pitchFamily="34" charset="0"/>
                <a:ea typeface="Tahoma" panose="020B0604030504040204" pitchFamily="34" charset="0"/>
                <a:cs typeface="Tahoma" panose="020B0604030504040204" pitchFamily="34" charset="0"/>
              </a:rPr>
              <a:t>v letech </a:t>
            </a:r>
            <a:r>
              <a:rPr lang="cs-CZ" sz="1050" b="1" i="0" baseline="0">
                <a:latin typeface="Tahoma" panose="020B0604030504040204" pitchFamily="34" charset="0"/>
                <a:ea typeface="Tahoma" panose="020B0604030504040204" pitchFamily="34" charset="0"/>
                <a:cs typeface="Tahoma" panose="020B0604030504040204" pitchFamily="34" charset="0"/>
              </a:rPr>
              <a:t>2003</a:t>
            </a:r>
            <a:r>
              <a:rPr lang="cs-CZ" sz="1050" b="1" i="0" u="none" strike="noStrike" baseline="0">
                <a:effectLst/>
                <a:latin typeface="Tahoma" panose="020B0604030504040204" pitchFamily="34" charset="0"/>
                <a:ea typeface="Tahoma" panose="020B0604030504040204" pitchFamily="34" charset="0"/>
                <a:cs typeface="Tahoma" panose="020B0604030504040204" pitchFamily="34" charset="0"/>
              </a:rPr>
              <a:t>–</a:t>
            </a:r>
            <a:r>
              <a:rPr lang="cs-CZ" sz="1050" b="1" i="0" baseline="0">
                <a:latin typeface="Tahoma" panose="020B0604030504040204" pitchFamily="34" charset="0"/>
                <a:ea typeface="Tahoma" panose="020B0604030504040204" pitchFamily="34" charset="0"/>
                <a:cs typeface="Tahoma" panose="020B0604030504040204" pitchFamily="34" charset="0"/>
              </a:rPr>
              <a:t>2023</a:t>
            </a:r>
          </a:p>
        </c:rich>
      </c:tx>
      <c:overlay val="0"/>
    </c:title>
    <c:autoTitleDeleted val="0"/>
    <c:view3D>
      <c:rotX val="15"/>
      <c:rotY val="20"/>
      <c:rAngAx val="1"/>
    </c:view3D>
    <c:floor>
      <c:thickness val="0"/>
      <c:spPr>
        <a:solidFill>
          <a:schemeClr val="bg1">
            <a:lumMod val="95000"/>
          </a:schemeClr>
        </a:solidFill>
      </c:spPr>
    </c:floor>
    <c:sideWall>
      <c:thickness val="0"/>
      <c:spPr>
        <a:solidFill>
          <a:schemeClr val="bg1">
            <a:lumMod val="85000"/>
          </a:schemeClr>
        </a:solidFill>
      </c:spPr>
    </c:sideWall>
    <c:backWall>
      <c:thickness val="0"/>
      <c:spPr>
        <a:solidFill>
          <a:schemeClr val="bg1">
            <a:lumMod val="85000"/>
          </a:schemeClr>
        </a:solidFill>
      </c:spPr>
    </c:backWall>
    <c:plotArea>
      <c:layout/>
      <c:bar3DChart>
        <c:barDir val="col"/>
        <c:grouping val="stacked"/>
        <c:varyColors val="0"/>
        <c:ser>
          <c:idx val="0"/>
          <c:order val="0"/>
          <c:tx>
            <c:strRef>
              <c:f>grafy!$I$7:$I$27</c:f>
              <c:strCache>
                <c:ptCount val="21"/>
                <c:pt idx="0">
                  <c:v>107,9</c:v>
                </c:pt>
                <c:pt idx="1">
                  <c:v>55,2</c:v>
                </c:pt>
                <c:pt idx="2">
                  <c:v>97,3</c:v>
                </c:pt>
                <c:pt idx="3">
                  <c:v>41,6</c:v>
                </c:pt>
                <c:pt idx="4">
                  <c:v>22,1</c:v>
                </c:pt>
                <c:pt idx="5">
                  <c:v>30,2</c:v>
                </c:pt>
                <c:pt idx="6">
                  <c:v>27,9</c:v>
                </c:pt>
                <c:pt idx="7">
                  <c:v>27,6</c:v>
                </c:pt>
                <c:pt idx="8">
                  <c:v>25,1</c:v>
                </c:pt>
                <c:pt idx="9">
                  <c:v>26,5</c:v>
                </c:pt>
                <c:pt idx="10">
                  <c:v>20,7</c:v>
                </c:pt>
                <c:pt idx="11">
                  <c:v>22,8</c:v>
                </c:pt>
                <c:pt idx="12">
                  <c:v>19,4</c:v>
                </c:pt>
                <c:pt idx="13">
                  <c:v>18,7</c:v>
                </c:pt>
                <c:pt idx="14">
                  <c:v>23,2</c:v>
                </c:pt>
                <c:pt idx="15">
                  <c:v>32,0</c:v>
                </c:pt>
                <c:pt idx="16">
                  <c:v>52,3</c:v>
                </c:pt>
                <c:pt idx="17">
                  <c:v>39,0</c:v>
                </c:pt>
                <c:pt idx="18">
                  <c:v>21</c:v>
                </c:pt>
                <c:pt idx="19">
                  <c:v>40</c:v>
                </c:pt>
                <c:pt idx="20">
                  <c:v>22</c:v>
                </c:pt>
              </c:strCache>
            </c:strRef>
          </c:tx>
          <c:spPr>
            <a:solidFill>
              <a:srgbClr val="FF3300"/>
            </a:solidFill>
            <a:ln>
              <a:noFill/>
            </a:ln>
          </c:spPr>
          <c:invertIfNegative val="0"/>
          <c:dLbls>
            <c:spPr>
              <a:solidFill>
                <a:srgbClr val="FEBFB8"/>
              </a:solidFill>
            </c:spPr>
            <c:txPr>
              <a:bodyPr rot="-5400000" vert="horz"/>
              <a:lstStyle/>
              <a:p>
                <a:pPr>
                  <a:defRPr sz="800" baseline="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grafy!$A$7:$A$27</c:f>
              <c:numCache>
                <c:formatCode>General</c:formatCode>
                <c:ptCount val="21"/>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formatCode="0">
                  <c:v>2022</c:v>
                </c:pt>
                <c:pt idx="20" formatCode="0">
                  <c:v>2023</c:v>
                </c:pt>
              </c:numCache>
            </c:numRef>
          </c:cat>
          <c:val>
            <c:numRef>
              <c:f>grafy!$I$7:$I$27</c:f>
              <c:numCache>
                <c:formatCode>#\ ##0.0</c:formatCode>
                <c:ptCount val="21"/>
                <c:pt idx="0">
                  <c:v>107.86</c:v>
                </c:pt>
                <c:pt idx="1">
                  <c:v>55.19</c:v>
                </c:pt>
                <c:pt idx="2">
                  <c:v>97.27</c:v>
                </c:pt>
                <c:pt idx="3">
                  <c:v>41.64</c:v>
                </c:pt>
                <c:pt idx="4">
                  <c:v>22.08</c:v>
                </c:pt>
                <c:pt idx="5">
                  <c:v>30.17</c:v>
                </c:pt>
                <c:pt idx="6">
                  <c:v>27.9</c:v>
                </c:pt>
                <c:pt idx="7">
                  <c:v>27.57</c:v>
                </c:pt>
                <c:pt idx="8">
                  <c:v>25.13</c:v>
                </c:pt>
                <c:pt idx="9">
                  <c:v>26.52</c:v>
                </c:pt>
                <c:pt idx="10">
                  <c:v>20.73</c:v>
                </c:pt>
                <c:pt idx="11">
                  <c:v>22.76</c:v>
                </c:pt>
                <c:pt idx="12">
                  <c:v>19.449000000000002</c:v>
                </c:pt>
                <c:pt idx="13">
                  <c:v>18.7</c:v>
                </c:pt>
                <c:pt idx="14">
                  <c:v>23.2</c:v>
                </c:pt>
                <c:pt idx="15">
                  <c:v>32</c:v>
                </c:pt>
                <c:pt idx="16">
                  <c:v>52.320999999999998</c:v>
                </c:pt>
                <c:pt idx="17">
                  <c:v>39</c:v>
                </c:pt>
                <c:pt idx="18" formatCode="#,##0">
                  <c:v>21</c:v>
                </c:pt>
                <c:pt idx="19" formatCode="#,##0">
                  <c:v>40</c:v>
                </c:pt>
                <c:pt idx="20" formatCode="#,##0">
                  <c:v>21.842099999999999</c:v>
                </c:pt>
              </c:numCache>
            </c:numRef>
          </c:val>
          <c:extLst>
            <c:ext xmlns:c16="http://schemas.microsoft.com/office/drawing/2014/chart" uri="{C3380CC4-5D6E-409C-BE32-E72D297353CC}">
              <c16:uniqueId val="{00000000-D369-4736-A6FC-321FA884BF8E}"/>
            </c:ext>
          </c:extLst>
        </c:ser>
        <c:dLbls>
          <c:showLegendKey val="0"/>
          <c:showVal val="1"/>
          <c:showCatName val="0"/>
          <c:showSerName val="0"/>
          <c:showPercent val="0"/>
          <c:showBubbleSize val="0"/>
        </c:dLbls>
        <c:gapWidth val="115"/>
        <c:gapDepth val="298"/>
        <c:shape val="box"/>
        <c:axId val="126375808"/>
        <c:axId val="126377344"/>
        <c:axId val="0"/>
      </c:bar3DChart>
      <c:catAx>
        <c:axId val="126375808"/>
        <c:scaling>
          <c:orientation val="minMax"/>
        </c:scaling>
        <c:delete val="0"/>
        <c:axPos val="b"/>
        <c:numFmt formatCode="General" sourceLinked="1"/>
        <c:majorTickMark val="out"/>
        <c:minorTickMark val="none"/>
        <c:tickLblPos val="nextTo"/>
        <c:txPr>
          <a:bodyPr/>
          <a:lstStyle/>
          <a:p>
            <a:pPr>
              <a:defRPr sz="700">
                <a:latin typeface="Tahoma" panose="020B0604030504040204" pitchFamily="34" charset="0"/>
                <a:ea typeface="Tahoma" panose="020B0604030504040204" pitchFamily="34" charset="0"/>
                <a:cs typeface="Tahoma" panose="020B0604030504040204" pitchFamily="34" charset="0"/>
              </a:defRPr>
            </a:pPr>
            <a:endParaRPr lang="cs-CZ"/>
          </a:p>
        </c:txPr>
        <c:crossAx val="126377344"/>
        <c:crosses val="autoZero"/>
        <c:auto val="1"/>
        <c:lblAlgn val="ctr"/>
        <c:lblOffset val="100"/>
        <c:noMultiLvlLbl val="0"/>
      </c:catAx>
      <c:valAx>
        <c:axId val="126377344"/>
        <c:scaling>
          <c:orientation val="minMax"/>
          <c:max val="110"/>
          <c:min val="0"/>
        </c:scaling>
        <c:delete val="0"/>
        <c:axPos val="l"/>
        <c:majorGridlines/>
        <c:title>
          <c:tx>
            <c:rich>
              <a:bodyPr rot="-5400000" vert="horz"/>
              <a:lstStyle/>
              <a:p>
                <a:pPr>
                  <a:defRPr>
                    <a:latin typeface="Tahoma" panose="020B0604030504040204" pitchFamily="34" charset="0"/>
                    <a:ea typeface="Tahoma" panose="020B0604030504040204" pitchFamily="34" charset="0"/>
                    <a:cs typeface="Tahoma" panose="020B0604030504040204" pitchFamily="34" charset="0"/>
                  </a:defRPr>
                </a:pPr>
                <a:r>
                  <a:rPr lang="cs-CZ">
                    <a:latin typeface="Tahoma" panose="020B0604030504040204" pitchFamily="34" charset="0"/>
                    <a:ea typeface="Tahoma" panose="020B0604030504040204" pitchFamily="34" charset="0"/>
                    <a:cs typeface="Tahoma" panose="020B0604030504040204" pitchFamily="34" charset="0"/>
                  </a:rPr>
                  <a:t>Množství</a:t>
                </a:r>
                <a:r>
                  <a:rPr lang="cs-CZ" baseline="0">
                    <a:latin typeface="Tahoma" panose="020B0604030504040204" pitchFamily="34" charset="0"/>
                    <a:ea typeface="Tahoma" panose="020B0604030504040204" pitchFamily="34" charset="0"/>
                    <a:cs typeface="Tahoma" panose="020B0604030504040204" pitchFamily="34" charset="0"/>
                  </a:rPr>
                  <a:t> v tunách</a:t>
                </a:r>
                <a:endParaRPr lang="cs-CZ">
                  <a:latin typeface="Tahoma" panose="020B0604030504040204" pitchFamily="34" charset="0"/>
                  <a:ea typeface="Tahoma" panose="020B0604030504040204" pitchFamily="34" charset="0"/>
                  <a:cs typeface="Tahoma" panose="020B0604030504040204" pitchFamily="34" charset="0"/>
                </a:endParaRPr>
              </a:p>
            </c:rich>
          </c:tx>
          <c:layout>
            <c:manualLayout>
              <c:xMode val="edge"/>
              <c:yMode val="edge"/>
              <c:x val="1.2288101662503442E-2"/>
              <c:y val="0.40323759259259262"/>
            </c:manualLayout>
          </c:layout>
          <c:overlay val="0"/>
        </c:title>
        <c:numFmt formatCode="#,##0" sourceLinked="0"/>
        <c:majorTickMark val="out"/>
        <c:minorTickMark val="none"/>
        <c:tickLblPos val="nextTo"/>
        <c:txPr>
          <a:bodyPr/>
          <a:lstStyle/>
          <a:p>
            <a:pPr>
              <a:defRPr sz="900" baseline="0"/>
            </a:pPr>
            <a:endParaRPr lang="cs-CZ"/>
          </a:p>
        </c:txPr>
        <c:crossAx val="126375808"/>
        <c:crosses val="autoZero"/>
        <c:crossBetween val="between"/>
        <c:majorUnit val="20"/>
      </c:valAx>
    </c:plotArea>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0.71017</cdr:x>
      <cdr:y>0.31821</cdr:y>
    </cdr:from>
    <cdr:to>
      <cdr:x>0.93158</cdr:x>
      <cdr:y>0.65071</cdr:y>
    </cdr:to>
    <cdr:sp macro="" textlink="">
      <cdr:nvSpPr>
        <cdr:cNvPr id="11" name="TextovéPole 2">
          <a:extLst xmlns:a="http://schemas.openxmlformats.org/drawingml/2006/main">
            <a:ext uri="{FF2B5EF4-FFF2-40B4-BE49-F238E27FC236}">
              <a16:creationId xmlns:a16="http://schemas.microsoft.com/office/drawing/2014/main" id="{9A82A833-8477-4651-A354-BA83420FEB16}"/>
            </a:ext>
          </a:extLst>
        </cdr:cNvPr>
        <cdr:cNvSpPr txBox="1"/>
      </cdr:nvSpPr>
      <cdr:spPr>
        <a:xfrm xmlns:a="http://schemas.openxmlformats.org/drawingml/2006/main">
          <a:off x="4133049" y="1339490"/>
          <a:ext cx="1288540" cy="1399630"/>
        </a:xfrm>
        <a:prstGeom xmlns:a="http://schemas.openxmlformats.org/drawingml/2006/main" prst="rect">
          <a:avLst/>
        </a:prstGeom>
        <a:solidFill xmlns:a="http://schemas.openxmlformats.org/drawingml/2006/main">
          <a:schemeClr val="bg1"/>
        </a:solidFill>
        <a:ln xmlns:a="http://schemas.openxmlformats.org/drawingml/2006/mai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cdr:spPr>
      <cdr:txBody>
        <a:bodyPr xmlns:a="http://schemas.openxmlformats.org/drawingml/2006/main" vertOverflow="clip" wrap="none" rtlCol="0" anchor="ctr"/>
        <a:lstStyle xmlns:a="http://schemas.openxmlformats.org/drawingml/2006/main"/>
        <a:p xmlns:a="http://schemas.openxmlformats.org/drawingml/2006/main">
          <a:pPr algn="ctr"/>
          <a:r>
            <a:rPr lang="cs-CZ" sz="1200" b="1">
              <a:solidFill>
                <a:sysClr val="windowText" lastClr="000000"/>
              </a:solidFill>
              <a:latin typeface="Tahoma" panose="020B0604030504040204" pitchFamily="34" charset="0"/>
              <a:ea typeface="Tahoma" panose="020B0604030504040204" pitchFamily="34" charset="0"/>
              <a:cs typeface="Tahoma" panose="020B0604030504040204" pitchFamily="34" charset="0"/>
            </a:rPr>
            <a:t>celkové</a:t>
          </a:r>
          <a:r>
            <a:rPr lang="cs-CZ" sz="1200" b="1"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náklady</a:t>
          </a:r>
        </a:p>
        <a:p xmlns:a="http://schemas.openxmlformats.org/drawingml/2006/main">
          <a:pPr algn="ctr"/>
          <a:endParaRPr lang="cs-CZ" sz="1200" b="1"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kumimoji="0" lang="cs-CZ" sz="1500" b="1" i="0" u="none" strike="noStrike" kern="0" cap="none" spc="0" normalizeH="0" baseline="0" noProof="0">
              <a:ln>
                <a:noFill/>
              </a:ln>
              <a:solidFill>
                <a:srgbClr val="E62C00"/>
              </a:solidFill>
              <a:effectLst/>
              <a:uLnTx/>
              <a:uFillTx/>
              <a:latin typeface="Tahoma" panose="020B0604030504040204" pitchFamily="34" charset="0"/>
              <a:ea typeface="Tahoma" panose="020B0604030504040204" pitchFamily="34" charset="0"/>
              <a:cs typeface="Tahoma" panose="020B0604030504040204" pitchFamily="34" charset="0"/>
            </a:rPr>
            <a:t> </a:t>
          </a:r>
          <a:r>
            <a:rPr kumimoji="0" lang="cs-CZ" sz="1250" b="1" i="0" u="none" strike="noStrike" kern="0" cap="none" spc="0" normalizeH="0" baseline="0" noProof="0">
              <a:ln>
                <a:noFill/>
              </a:ln>
              <a:solidFill>
                <a:srgbClr val="E62C00"/>
              </a:solidFill>
              <a:effectLst/>
              <a:uLnTx/>
              <a:uFillTx/>
              <a:latin typeface="Tahoma" panose="020B0604030504040204" pitchFamily="34" charset="0"/>
              <a:ea typeface="Tahoma" panose="020B0604030504040204" pitchFamily="34" charset="0"/>
              <a:cs typeface="Tahoma" panose="020B0604030504040204" pitchFamily="34" charset="0"/>
            </a:rPr>
            <a:t>60</a:t>
          </a:r>
          <a:r>
            <a:rPr kumimoji="0" lang="cs-CZ" sz="1500" b="1" i="0" u="none" strike="noStrike" kern="0" cap="none" spc="0" normalizeH="0" baseline="0" noProof="0">
              <a:ln>
                <a:noFill/>
              </a:ln>
              <a:solidFill>
                <a:srgbClr val="E62C00"/>
              </a:solidFill>
              <a:effectLst/>
              <a:uLnTx/>
              <a:uFillTx/>
              <a:latin typeface="Tahoma" panose="020B0604030504040204" pitchFamily="34" charset="0"/>
              <a:ea typeface="Tahoma" panose="020B0604030504040204" pitchFamily="34" charset="0"/>
              <a:cs typeface="Tahoma" panose="020B0604030504040204" pitchFamily="34" charset="0"/>
            </a:rPr>
            <a:t> </a:t>
          </a:r>
          <a:r>
            <a:rPr kumimoji="0" lang="cs-CZ" sz="1250" b="1" i="0" u="none" strike="noStrike" kern="0" cap="none" spc="0" normalizeH="0" baseline="0" noProof="0">
              <a:ln>
                <a:noFill/>
              </a:ln>
              <a:solidFill>
                <a:srgbClr val="E62C00"/>
              </a:solidFill>
              <a:effectLst/>
              <a:uLnTx/>
              <a:uFillTx/>
              <a:latin typeface="Tahoma" panose="020B0604030504040204" pitchFamily="34" charset="0"/>
              <a:ea typeface="Tahoma" panose="020B0604030504040204" pitchFamily="34" charset="0"/>
              <a:cs typeface="Tahoma" panose="020B0604030504040204" pitchFamily="34" charset="0"/>
            </a:rPr>
            <a:t>703 111 Kč</a:t>
          </a:r>
          <a:endParaRPr lang="cs-CZ" sz="1500" b="1" baseline="0">
            <a:solidFill>
              <a:srgbClr val="E62C00"/>
            </a:solidFill>
            <a:latin typeface="Tahoma" panose="020B0604030504040204" pitchFamily="34" charset="0"/>
            <a:ea typeface="Tahoma" panose="020B0604030504040204" pitchFamily="34" charset="0"/>
            <a:cs typeface="Tahoma" panose="020B0604030504040204" pitchFamily="34" charset="0"/>
          </a:endParaRPr>
        </a:p>
      </cdr:txBody>
    </cdr:sp>
  </cdr:relSizeAnchor>
</c:userShape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1388</Words>
  <Characters>8191</Characters>
  <Application>Microsoft Office Word</Application>
  <DocSecurity>4</DocSecurity>
  <Lines>68</Lines>
  <Paragraphs>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Kateřina KOHUTOVÁ DiS.</dc:creator>
  <cp:keywords/>
  <dc:description/>
  <cp:lastModifiedBy>Ing. Zuzana ŠPOKOVÁ</cp:lastModifiedBy>
  <cp:revision>2</cp:revision>
  <cp:lastPrinted>2019-06-25T07:21:00Z</cp:lastPrinted>
  <dcterms:created xsi:type="dcterms:W3CDTF">2024-05-28T05:03:00Z</dcterms:created>
  <dcterms:modified xsi:type="dcterms:W3CDTF">2024-05-28T05:03:00Z</dcterms:modified>
</cp:coreProperties>
</file>